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NERDWALLET, INC.</w:t>
      </w:r>
    </w:p>
    <w:p>
      <w:pPr>
        <w:spacing w:after="0" w:line="5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215265</wp:posOffset>
            </wp:positionV>
            <wp:extent cx="5786755" cy="7543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6755"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2160270"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14, 2022</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Stockholders:</w:t>
      </w:r>
    </w:p>
    <w:p>
      <w:pPr>
        <w:spacing w:after="0" w:line="262" w:lineRule="exact"/>
        <w:rPr>
          <w:sz w:val="20"/>
          <w:szCs w:val="20"/>
          <w:color w:val="auto"/>
        </w:rPr>
      </w:pPr>
    </w:p>
    <w:p>
      <w:pPr>
        <w:ind w:left="120" w:right="60"/>
        <w:spacing w:after="0" w:line="307" w:lineRule="auto"/>
        <w:rPr>
          <w:sz w:val="20"/>
          <w:szCs w:val="20"/>
          <w:color w:val="auto"/>
        </w:rPr>
      </w:pPr>
      <w:r>
        <w:rPr>
          <w:rFonts w:ascii="Arial" w:cs="Arial" w:eastAsia="Arial" w:hAnsi="Arial"/>
          <w:sz w:val="16"/>
          <w:szCs w:val="16"/>
          <w:color w:val="auto"/>
        </w:rPr>
        <w:t>When we made our public debut on Nasdaq in November 2021, I told our Nerds that one of the greatest responsibilities I feel as a CEO is the one I have to all of them: to build a company where every Nerd has the chance to make change for our consumers, for our financial partners, and for their careers. Every year during the annual performance cycle, I hear of so many Nerds who have lived our values, gone the extra mile, and/or who have helped us seize new opportunities. I am grateful to all of the Nerds – past and present – who have made NerdWallet into the company it is today: a global company with over 675 full-time employees providing a breadth and depth of trustworthy financial guidance that’s establishing NerdWallet as a brand to turn – and return – to for clarity and confidence for all of life’s financial decisions.</w:t>
      </w:r>
    </w:p>
    <w:p>
      <w:pPr>
        <w:spacing w:after="0" w:line="181" w:lineRule="exact"/>
        <w:rPr>
          <w:sz w:val="20"/>
          <w:szCs w:val="20"/>
          <w:color w:val="auto"/>
        </w:rPr>
      </w:pPr>
    </w:p>
    <w:p>
      <w:pPr>
        <w:ind w:left="120" w:right="200"/>
        <w:spacing w:after="0" w:line="312" w:lineRule="auto"/>
        <w:rPr>
          <w:sz w:val="20"/>
          <w:szCs w:val="20"/>
          <w:color w:val="auto"/>
        </w:rPr>
      </w:pPr>
      <w:r>
        <w:rPr>
          <w:rFonts w:ascii="Arial" w:cs="Arial" w:eastAsia="Arial" w:hAnsi="Arial"/>
          <w:sz w:val="16"/>
          <w:szCs w:val="16"/>
          <w:color w:val="auto"/>
        </w:rPr>
        <w:t>In this proxy statement, you will read about some of the ways in which we strive to create a company culture that gives every Nerd a chance to make change, including corporate governance, employee management, and ESG efforts. Day-to-day, we do this by promoting our Nerdy values and creating opportunities to celebrate success and each other. We share wins at our bi-monthly All Hands, we recognize “What Good Looks Like” winners at the team- and company-level, and, in February, we take a week for NerdLove, our annual employee appreciation program.</w:t>
      </w:r>
    </w:p>
    <w:p>
      <w:pPr>
        <w:spacing w:after="0" w:line="177"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color w:val="auto"/>
        </w:rPr>
        <w:t xml:space="preserve">A hallmark of our NerdWallet community is that we also look outward. Nerds care about the world around us and how we can align our broader actions with the vision that inspires our business: a world in which everyone makes financial decisions with confidence. Last year, we launched our Corporate Social Responsibility program, The Financial Equality Project, to support the work of credit unions that lend to low-income communities in ways that can be overlooked by traditional credit scoring models. As part of this, in 2021 we established The Bay Area Impact Fund, donating directly to enable day-to-day operations with three local minority depository institutions (MDIs) in the Bay Area. We also launched a campaign to encourage other companies to bank with community development credit unions (CDCUs), starting with a $2M deposit of our own with Self-Help Federal Credit Union, where we’re earning better rates while making a positive social impact. Following our deposit, iHeart Impact Fund and The Match Group joined the effort (and – shameless plug! – if you’d like to learn more about how you or your company can join us, please reach out to </w:t>
      </w:r>
      <w:r>
        <w:rPr>
          <w:rFonts w:ascii="Arial" w:cs="Arial" w:eastAsia="Arial" w:hAnsi="Arial"/>
          <w:sz w:val="16"/>
          <w:szCs w:val="16"/>
          <w:u w:val="single" w:color="auto"/>
          <w:color w:val="auto"/>
        </w:rPr>
        <w:t>socialimpact@nerdwallet.com</w:t>
      </w:r>
      <w:r>
        <w:rPr>
          <w:rFonts w:ascii="Arial" w:cs="Arial" w:eastAsia="Arial" w:hAnsi="Arial"/>
          <w:sz w:val="16"/>
          <w:szCs w:val="16"/>
          <w:color w:val="auto"/>
        </w:rPr>
        <w:t>). Looking ahead, we’re excited to continue this work and extend our impact nationally, and in 2022, we have donated directly to Inclusiv’s Racial Equity Grant Fund to support MDIs across the United States.</w:t>
      </w:r>
    </w:p>
    <w:p>
      <w:pPr>
        <w:spacing w:after="0" w:line="188" w:lineRule="exact"/>
        <w:rPr>
          <w:sz w:val="20"/>
          <w:szCs w:val="20"/>
          <w:color w:val="auto"/>
        </w:rPr>
      </w:pPr>
    </w:p>
    <w:p>
      <w:pPr>
        <w:ind w:left="120" w:right="140"/>
        <w:spacing w:after="0" w:line="319" w:lineRule="auto"/>
        <w:rPr>
          <w:sz w:val="20"/>
          <w:szCs w:val="20"/>
          <w:color w:val="auto"/>
        </w:rPr>
      </w:pPr>
      <w:r>
        <w:rPr>
          <w:rFonts w:ascii="Arial" w:cs="Arial" w:eastAsia="Arial" w:hAnsi="Arial"/>
          <w:sz w:val="16"/>
          <w:szCs w:val="16"/>
          <w:color w:val="auto"/>
        </w:rPr>
        <w:t>But every day in our work together, NerdWallet’s Nerds are motivated by helping more people in more ways. We continue to diversify our business, landing and expanding in new financial categories and countries to provide even more consumers and small and mid-sized businesses (SMBs) with our trustworthy financial guidance.</w:t>
      </w:r>
    </w:p>
    <w:p>
      <w:pPr>
        <w:spacing w:after="0" w:line="171" w:lineRule="exact"/>
        <w:rPr>
          <w:sz w:val="20"/>
          <w:szCs w:val="20"/>
          <w:color w:val="auto"/>
        </w:rPr>
      </w:pPr>
    </w:p>
    <w:p>
      <w:pPr>
        <w:ind w:left="120" w:right="120"/>
        <w:spacing w:after="0" w:line="339" w:lineRule="auto"/>
        <w:rPr>
          <w:sz w:val="20"/>
          <w:szCs w:val="20"/>
          <w:color w:val="auto"/>
        </w:rPr>
      </w:pPr>
      <w:r>
        <w:rPr>
          <w:rFonts w:ascii="Arial" w:cs="Arial" w:eastAsia="Arial" w:hAnsi="Arial"/>
          <w:sz w:val="16"/>
          <w:szCs w:val="16"/>
          <w:color w:val="auto"/>
        </w:rPr>
        <w:t>I feel fortunate every day to work with a community of people as talented, driven, and inclusive as the Nerds – and I know that together we can make an even bigger impact for our consumers and our business in the future.</w:t>
      </w:r>
    </w:p>
    <w:p>
      <w:pPr>
        <w:spacing w:after="0" w:line="155" w:lineRule="exact"/>
        <w:rPr>
          <w:sz w:val="20"/>
          <w:szCs w:val="20"/>
          <w:color w:val="auto"/>
        </w:rPr>
      </w:pPr>
    </w:p>
    <w:p>
      <w:pPr>
        <w:ind w:left="120" w:right="220"/>
        <w:spacing w:after="0" w:line="339" w:lineRule="auto"/>
        <w:rPr>
          <w:sz w:val="20"/>
          <w:szCs w:val="20"/>
          <w:color w:val="auto"/>
        </w:rPr>
      </w:pPr>
      <w:r>
        <w:rPr>
          <w:rFonts w:ascii="Arial" w:cs="Arial" w:eastAsia="Arial" w:hAnsi="Arial"/>
          <w:sz w:val="16"/>
          <w:szCs w:val="16"/>
          <w:color w:val="auto"/>
        </w:rPr>
        <w:t>With this context, I am looking forward to hosting our first annual meeting. At the meeting, you will have a chance to vote on the matters set forth in the accompanying Notice of 2022 Annual Meeting of Stockholders and Proxy Statement.</w:t>
      </w:r>
    </w:p>
    <w:p>
      <w:pPr>
        <w:spacing w:after="0" w:line="155" w:lineRule="exact"/>
        <w:rPr>
          <w:sz w:val="20"/>
          <w:szCs w:val="20"/>
          <w:color w:val="auto"/>
        </w:rPr>
      </w:pPr>
    </w:p>
    <w:p>
      <w:pPr>
        <w:ind w:left="120"/>
        <w:spacing w:after="0" w:line="319" w:lineRule="auto"/>
        <w:rPr>
          <w:sz w:val="20"/>
          <w:szCs w:val="20"/>
          <w:color w:val="auto"/>
        </w:rPr>
      </w:pPr>
      <w:r>
        <w:rPr>
          <w:rFonts w:ascii="Arial" w:cs="Arial" w:eastAsia="Arial" w:hAnsi="Arial"/>
          <w:sz w:val="16"/>
          <w:szCs w:val="16"/>
          <w:color w:val="auto"/>
        </w:rPr>
        <w:t>Your vote is important! Even if you plan to participate in the Annual Meeting, please vote by internet, telephone or mail as soon as possible to ensure your vote is recorded promptly. The instructions set forth in the Notice of Internet Availability of Proxy Materials, proxy card or voting instruction card explain how to vote your shares.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behalf of the Board of Directors, thank you for your continued support and confidence.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851660"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TIM CHEN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842645</wp:posOffset>
            </wp:positionV>
            <wp:extent cx="2160270"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b w:val="1"/>
          <w:bCs w:val="1"/>
          <w:color w:val="auto"/>
        </w:rPr>
        <w:t>Notice of 2022 Annual Meeting of Stockholders</w:t>
      </w:r>
    </w:p>
    <w:p>
      <w:pPr>
        <w:spacing w:after="0" w:line="279" w:lineRule="exact"/>
        <w:rPr>
          <w:sz w:val="20"/>
          <w:szCs w:val="20"/>
          <w:color w:val="auto"/>
        </w:rPr>
      </w:pPr>
    </w:p>
    <w:p>
      <w:pPr>
        <w:ind w:left="120" w:right="180"/>
        <w:spacing w:after="0" w:line="339" w:lineRule="auto"/>
        <w:rPr>
          <w:sz w:val="20"/>
          <w:szCs w:val="20"/>
          <w:color w:val="auto"/>
        </w:rPr>
      </w:pPr>
      <w:r>
        <w:rPr>
          <w:rFonts w:ascii="Arial" w:cs="Arial" w:eastAsia="Arial" w:hAnsi="Arial"/>
          <w:sz w:val="16"/>
          <w:szCs w:val="16"/>
          <w:color w:val="auto"/>
        </w:rPr>
        <w:t>The accompanying proxy statement is provided in connection with the solicitation of proxies by the Board of Directors of NerdWallet, Inc. for use at the 2022 Annual Meeting of Stockholders.</w:t>
      </w:r>
    </w:p>
    <w:p>
      <w:pPr>
        <w:spacing w:after="0" w:line="155" w:lineRule="exact"/>
        <w:rPr>
          <w:sz w:val="20"/>
          <w:szCs w:val="20"/>
          <w:color w:val="auto"/>
        </w:rPr>
      </w:pPr>
    </w:p>
    <w:p>
      <w:pPr>
        <w:ind w:left="120" w:right="200"/>
        <w:spacing w:after="0" w:line="339" w:lineRule="auto"/>
        <w:rPr>
          <w:sz w:val="20"/>
          <w:szCs w:val="20"/>
          <w:color w:val="auto"/>
        </w:rPr>
      </w:pPr>
      <w:r>
        <w:rPr>
          <w:rFonts w:ascii="Arial" w:cs="Arial" w:eastAsia="Arial" w:hAnsi="Arial"/>
          <w:sz w:val="16"/>
          <w:szCs w:val="16"/>
          <w:color w:val="auto"/>
        </w:rPr>
        <w:t>The Annual Meeting is being held virtually by live webcast on Wednesday, May 25, 2022, at 10:00 a.m., Pacific Time, to conduct the following items of business:</w:t>
      </w:r>
    </w:p>
    <w:p>
      <w:pPr>
        <w:spacing w:after="0" w:line="61" w:lineRule="exact"/>
        <w:rPr>
          <w:sz w:val="20"/>
          <w:szCs w:val="20"/>
          <w:color w:val="auto"/>
        </w:rPr>
      </w:pPr>
    </w:p>
    <w:p>
      <w:pPr>
        <w:ind w:left="540" w:right="380" w:hanging="424"/>
        <w:spacing w:after="0" w:line="339"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five members to our Board of Directors (“Board”), each to serve until the annual meeting in 2023 and until a successor has been duly elected and qualified, or until such director’s earlier resignation, retirement or other termination of service;</w:t>
      </w:r>
    </w:p>
    <w:p>
      <w:pPr>
        <w:spacing w:after="0" w:line="60" w:lineRule="exact"/>
        <w:rPr>
          <w:rFonts w:ascii="Arial" w:cs="Arial" w:eastAsia="Arial" w:hAnsi="Arial"/>
          <w:sz w:val="16"/>
          <w:szCs w:val="16"/>
          <w:color w:val="auto"/>
        </w:rPr>
      </w:pPr>
    </w:p>
    <w:p>
      <w:pPr>
        <w:ind w:left="540" w:hanging="424"/>
        <w:spacing w:after="0" w:line="339"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NerdWallet, Inc. 2021 Equity Incentive Plan to increase the number of shares of Class A common stock reserved for issuance thereunder by 8,000,000; and</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registered public accounting firm for the year ending December 31, 2022.</w:t>
      </w:r>
    </w:p>
    <w:p>
      <w:pPr>
        <w:spacing w:after="0" w:line="262"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color w:val="auto"/>
        </w:rPr>
        <w:t>The accompanying proxy statement describes each of these items of business in detail. The stockholders will also act on any other business that may properly come before the Annual Meeting or any postponement, continuation or adjournment thereof. We have not received notice of any other matters that may properly be presented at the Annual Meeting.</w:t>
      </w:r>
    </w:p>
    <w:p>
      <w:pPr>
        <w:spacing w:after="0" w:line="171" w:lineRule="exact"/>
        <w:rPr>
          <w:sz w:val="20"/>
          <w:szCs w:val="20"/>
          <w:color w:val="auto"/>
        </w:rPr>
      </w:pPr>
    </w:p>
    <w:p>
      <w:pPr>
        <w:ind w:left="120" w:right="100"/>
        <w:spacing w:after="0" w:line="312" w:lineRule="auto"/>
        <w:rPr>
          <w:sz w:val="20"/>
          <w:szCs w:val="20"/>
          <w:color w:val="auto"/>
        </w:rPr>
      </w:pPr>
      <w:r>
        <w:rPr>
          <w:rFonts w:ascii="Arial" w:cs="Arial" w:eastAsia="Arial" w:hAnsi="Arial"/>
          <w:sz w:val="16"/>
          <w:szCs w:val="16"/>
          <w:color w:val="auto"/>
        </w:rPr>
        <w:t>We began mailing a Notice of Internet Availability of Proxy Materials on or about April 14, 2022 to holders of record of shares of our Class A common stock and Class B common stock at the close of business on the record date, March 31, 2022. The Notice of Internet Availability of Proxy Materials contains information on how to access this notice, the proxy statement, the form of proxy and our 2021 Annual Report to stockholders over the Internet, as well as instructions on how to request a paper copy of these materials.</w:t>
      </w:r>
    </w:p>
    <w:p>
      <w:pPr>
        <w:spacing w:after="0" w:line="177" w:lineRule="exact"/>
        <w:rPr>
          <w:sz w:val="20"/>
          <w:szCs w:val="20"/>
          <w:color w:val="auto"/>
        </w:rPr>
      </w:pPr>
    </w:p>
    <w:p>
      <w:pPr>
        <w:ind w:left="120" w:right="320"/>
        <w:spacing w:after="0" w:line="339" w:lineRule="auto"/>
        <w:rPr>
          <w:sz w:val="20"/>
          <w:szCs w:val="20"/>
          <w:color w:val="auto"/>
        </w:rPr>
      </w:pPr>
      <w:r>
        <w:rPr>
          <w:rFonts w:ascii="Arial" w:cs="Arial" w:eastAsia="Arial" w:hAnsi="Arial"/>
          <w:sz w:val="16"/>
          <w:szCs w:val="16"/>
          <w:color w:val="auto"/>
        </w:rPr>
        <w:t>Only stockholders of record at the close of business on March 31, 2022, the date established by our Board as the record date, are entitled to receive notice of, and vote at, the Annual Meeting or any postponement, continuation, or adjournment thereof.</w:t>
      </w:r>
    </w:p>
    <w:p>
      <w:pPr>
        <w:spacing w:after="0" w:line="155" w:lineRule="exact"/>
        <w:rPr>
          <w:sz w:val="20"/>
          <w:szCs w:val="20"/>
          <w:color w:val="auto"/>
        </w:rPr>
      </w:pPr>
    </w:p>
    <w:p>
      <w:pPr>
        <w:ind w:left="120"/>
        <w:spacing w:after="0" w:line="312" w:lineRule="auto"/>
        <w:rPr>
          <w:sz w:val="20"/>
          <w:szCs w:val="20"/>
          <w:color w:val="auto"/>
        </w:rPr>
      </w:pPr>
      <w:r>
        <w:rPr>
          <w:rFonts w:ascii="Arial" w:cs="Arial" w:eastAsia="Arial" w:hAnsi="Arial"/>
          <w:sz w:val="16"/>
          <w:szCs w:val="16"/>
          <w:color w:val="auto"/>
        </w:rPr>
        <w:t>All stockholders are invited to attend the Annual Meeting by pre-registering at www.proxydocs.com/NRDS. You will be able to attend the Annual Meeting, submit appropriate questions to our management and Board, and vote your shares during the Annual Meeting. To participate in and vote at the Annual Meeting, stockholders will need the unique control number in their Notice of Internet Availability of Proxy Materials or proxy card. Additional information regarding the Annual Meeting is included in the accompanying proxy statement.</w:t>
      </w:r>
    </w:p>
    <w:p>
      <w:pPr>
        <w:spacing w:after="0" w:line="177" w:lineRule="exact"/>
        <w:rPr>
          <w:sz w:val="20"/>
          <w:szCs w:val="20"/>
          <w:color w:val="auto"/>
        </w:rPr>
      </w:pPr>
    </w:p>
    <w:p>
      <w:pPr>
        <w:ind w:left="120" w:right="60"/>
        <w:spacing w:after="0" w:line="339" w:lineRule="auto"/>
        <w:rPr>
          <w:sz w:val="20"/>
          <w:szCs w:val="20"/>
          <w:color w:val="auto"/>
        </w:rPr>
      </w:pPr>
      <w:r>
        <w:rPr>
          <w:rFonts w:ascii="Arial" w:cs="Arial" w:eastAsia="Arial" w:hAnsi="Arial"/>
          <w:sz w:val="16"/>
          <w:szCs w:val="16"/>
          <w:color w:val="auto"/>
        </w:rPr>
        <w:t>Your vote is very important. Whether or not you plan to participate in the Annual Meeting, we urge you to vote as soon as possible by telephone, by mail or over the Internet as described in the accompanying proxy statement.</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654175"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EKUMENE M. LYSONGE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49"/>
          <w:szCs w:val="4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527685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rFonts w:ascii="Arial" w:cs="Arial" w:eastAsia="Arial" w:hAnsi="Arial"/>
          <w:sz w:val="16"/>
          <w:szCs w:val="16"/>
          <w:b w:val="1"/>
          <w:bCs w:val="1"/>
          <w:u w:val="single" w:color="auto"/>
          <w:color w:val="0000EE"/>
        </w:rPr>
      </w:pPr>
      <w:hyperlink w:anchor="page6">
        <w:r>
          <w:rPr>
            <w:rFonts w:ascii="Arial" w:cs="Arial" w:eastAsia="Arial" w:hAnsi="Arial"/>
            <w:sz w:val="16"/>
            <w:szCs w:val="16"/>
            <w:b w:val="1"/>
            <w:bCs w:val="1"/>
            <w:u w:val="single" w:color="auto"/>
            <w:color w:val="0000EE"/>
          </w:rPr>
          <w:t>PROXY SUMMARY</w:t>
        </w:r>
      </w:hyperlink>
    </w:p>
    <w:p>
      <w:pPr>
        <w:spacing w:after="0" w:line="91" w:lineRule="exact"/>
        <w:rPr>
          <w:sz w:val="20"/>
          <w:szCs w:val="20"/>
          <w:color w:val="auto"/>
        </w:rPr>
      </w:pPr>
    </w:p>
    <w:p>
      <w:pPr>
        <w:ind w:left="4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2022 Annual Meeting of Stockholders</w:t>
        </w:r>
      </w:hyperlink>
    </w:p>
    <w:p>
      <w:pPr>
        <w:spacing w:after="0" w:line="82" w:lineRule="exact"/>
        <w:rPr>
          <w:sz w:val="20"/>
          <w:szCs w:val="20"/>
          <w:color w:val="auto"/>
        </w:rPr>
      </w:pPr>
    </w:p>
    <w:p>
      <w:pPr>
        <w:ind w:left="4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About NerdWallet</w:t>
        </w:r>
      </w:hyperlink>
    </w:p>
    <w:p>
      <w:pPr>
        <w:spacing w:after="0" w:line="69" w:lineRule="exact"/>
        <w:rPr>
          <w:sz w:val="20"/>
          <w:szCs w:val="20"/>
          <w:color w:val="auto"/>
        </w:rPr>
      </w:pPr>
    </w:p>
    <w:p>
      <w:pPr>
        <w:ind w:left="400"/>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Human Capital Management</w:t>
        </w:r>
      </w:hyperlink>
    </w:p>
    <w:p>
      <w:pPr>
        <w:spacing w:after="0" w:line="55" w:lineRule="exact"/>
        <w:rPr>
          <w:sz w:val="20"/>
          <w:szCs w:val="20"/>
          <w:color w:val="auto"/>
        </w:rPr>
      </w:pPr>
    </w:p>
    <w:p>
      <w:pPr>
        <w:ind w:left="400"/>
        <w:spacing w:after="0"/>
        <w:rPr>
          <w:rFonts w:ascii="Arial" w:cs="Arial" w:eastAsia="Arial" w:hAnsi="Arial"/>
          <w:sz w:val="14"/>
          <w:szCs w:val="14"/>
          <w:u w:val="single" w:color="auto"/>
          <w:color w:val="0000EE"/>
        </w:rPr>
      </w:pPr>
      <w:hyperlink w:anchor="page11">
        <w:r>
          <w:rPr>
            <w:rFonts w:ascii="Arial" w:cs="Arial" w:eastAsia="Arial" w:hAnsi="Arial"/>
            <w:sz w:val="14"/>
            <w:szCs w:val="14"/>
            <w:u w:val="single" w:color="auto"/>
            <w:color w:val="0000EE"/>
          </w:rPr>
          <w:t>Director Nominees</w:t>
        </w:r>
      </w:hyperlink>
    </w:p>
    <w:p>
      <w:pPr>
        <w:spacing w:after="0" w:line="82" w:lineRule="exact"/>
        <w:rPr>
          <w:sz w:val="20"/>
          <w:szCs w:val="20"/>
          <w:color w:val="auto"/>
        </w:rPr>
      </w:pPr>
    </w:p>
    <w:p>
      <w:pPr>
        <w:ind w:left="400"/>
        <w:spacing w:after="0"/>
        <w:rPr>
          <w:rFonts w:ascii="Arial" w:cs="Arial" w:eastAsia="Arial" w:hAnsi="Arial"/>
          <w:sz w:val="14"/>
          <w:szCs w:val="14"/>
          <w:u w:val="single" w:color="auto"/>
          <w:color w:val="0000EE"/>
        </w:rPr>
      </w:pPr>
      <w:hyperlink w:anchor="page12">
        <w:r>
          <w:rPr>
            <w:rFonts w:ascii="Arial" w:cs="Arial" w:eastAsia="Arial" w:hAnsi="Arial"/>
            <w:sz w:val="14"/>
            <w:szCs w:val="14"/>
            <w:u w:val="single" w:color="auto"/>
            <w:color w:val="0000EE"/>
          </w:rPr>
          <w:t>A Highly Diverse and Skilled Board</w:t>
        </w:r>
      </w:hyperlink>
    </w:p>
    <w:p>
      <w:pPr>
        <w:spacing w:after="0" w:line="82" w:lineRule="exact"/>
        <w:rPr>
          <w:sz w:val="20"/>
          <w:szCs w:val="20"/>
          <w:color w:val="auto"/>
        </w:rPr>
      </w:pPr>
    </w:p>
    <w:p>
      <w:pPr>
        <w:ind w:left="400"/>
        <w:spacing w:after="0"/>
        <w:rPr>
          <w:rFonts w:ascii="Arial" w:cs="Arial" w:eastAsia="Arial" w:hAnsi="Arial"/>
          <w:sz w:val="14"/>
          <w:szCs w:val="14"/>
          <w:u w:val="single" w:color="auto"/>
          <w:color w:val="0000EE"/>
        </w:rPr>
      </w:pPr>
      <w:hyperlink w:anchor="page13">
        <w:r>
          <w:rPr>
            <w:rFonts w:ascii="Arial" w:cs="Arial" w:eastAsia="Arial" w:hAnsi="Arial"/>
            <w:sz w:val="14"/>
            <w:szCs w:val="14"/>
            <w:u w:val="single" w:color="auto"/>
            <w:color w:val="0000EE"/>
          </w:rPr>
          <w:t>Executive Compensation—A Transition Year of a New Public Company</w:t>
        </w:r>
      </w:hyperlink>
    </w:p>
    <w:p>
      <w:pPr>
        <w:spacing w:after="0" w:line="96" w:lineRule="exact"/>
        <w:rPr>
          <w:sz w:val="20"/>
          <w:szCs w:val="20"/>
          <w:color w:val="auto"/>
        </w:rPr>
      </w:pPr>
    </w:p>
    <w:p>
      <w:pPr>
        <w:ind w:left="400" w:right="200"/>
        <w:spacing w:after="0" w:line="352" w:lineRule="auto"/>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Corporate Governance Highlights—Reasonable Governance With A</w:t>
        </w:r>
      </w:hyperlink>
      <w:r>
        <w:rPr>
          <w:rFonts w:ascii="Arial" w:cs="Arial" w:eastAsia="Arial" w:hAnsi="Arial"/>
          <w:sz w:val="14"/>
          <w:szCs w:val="14"/>
          <w:u w:val="single" w:color="auto"/>
          <w:color w:val="0000EE"/>
        </w:rPr>
        <w:t xml:space="preserve"> </w:t>
      </w:r>
      <w:hyperlink w:anchor="page14">
        <w:r>
          <w:rPr>
            <w:rFonts w:ascii="Arial" w:cs="Arial" w:eastAsia="Arial" w:hAnsi="Arial"/>
            <w:sz w:val="14"/>
            <w:szCs w:val="14"/>
            <w:u w:val="single" w:color="auto"/>
            <w:color w:val="0000EE"/>
          </w:rPr>
          <w:t>Controlling Stockholder</w:t>
        </w:r>
      </w:hyperlink>
    </w:p>
    <w:p>
      <w:pPr>
        <w:ind w:left="4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Environmental Social and Governance (ESG)</w:t>
        </w:r>
      </w:hyperlink>
    </w:p>
    <w:p>
      <w:pPr>
        <w:spacing w:after="0" w:line="82" w:lineRule="exact"/>
        <w:rPr>
          <w:sz w:val="20"/>
          <w:szCs w:val="20"/>
          <w:color w:val="auto"/>
        </w:rPr>
      </w:pPr>
    </w:p>
    <w:p>
      <w:pPr>
        <w:ind w:left="40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Human Capital Management Highlights</w:t>
        </w:r>
      </w:hyperlink>
    </w:p>
    <w:p>
      <w:pPr>
        <w:spacing w:after="0" w:line="77" w:lineRule="exact"/>
        <w:rPr>
          <w:sz w:val="20"/>
          <w:szCs w:val="20"/>
          <w:color w:val="auto"/>
        </w:rPr>
      </w:pPr>
    </w:p>
    <w:p>
      <w:pPr>
        <w:ind w:left="120" w:right="1200"/>
        <w:spacing w:after="0" w:line="328" w:lineRule="auto"/>
        <w:rPr>
          <w:rFonts w:ascii="Arial" w:cs="Arial" w:eastAsia="Arial" w:hAnsi="Arial"/>
          <w:sz w:val="16"/>
          <w:szCs w:val="16"/>
          <w:b w:val="1"/>
          <w:bCs w:val="1"/>
          <w:u w:val="single" w:color="auto"/>
          <w:color w:val="0000EE"/>
        </w:rPr>
      </w:pPr>
      <w:hyperlink w:anchor="page19">
        <w:r>
          <w:rPr>
            <w:rFonts w:ascii="Arial" w:cs="Arial" w:eastAsia="Arial" w:hAnsi="Arial"/>
            <w:sz w:val="16"/>
            <w:szCs w:val="16"/>
            <w:b w:val="1"/>
            <w:bCs w:val="1"/>
            <w:u w:val="single" w:color="auto"/>
            <w:color w:val="0000EE"/>
          </w:rPr>
          <w:t>PROPOSAL NO. 1—ELECTION OF DIRECTORS</w:t>
        </w:r>
      </w:hyperlink>
      <w:r>
        <w:rPr>
          <w:rFonts w:ascii="Arial" w:cs="Arial" w:eastAsia="Arial" w:hAnsi="Arial"/>
          <w:sz w:val="16"/>
          <w:szCs w:val="16"/>
          <w:b w:val="1"/>
          <w:bCs w:val="1"/>
          <w:u w:val="single" w:color="auto"/>
          <w:color w:val="0000EE"/>
        </w:rPr>
        <w:t xml:space="preserve"> </w:t>
      </w:r>
      <w:hyperlink w:anchor="page24">
        <w:r>
          <w:rPr>
            <w:rFonts w:ascii="Arial" w:cs="Arial" w:eastAsia="Arial" w:hAnsi="Arial"/>
            <w:sz w:val="16"/>
            <w:szCs w:val="16"/>
            <w:b w:val="1"/>
            <w:bCs w:val="1"/>
            <w:u w:val="single" w:color="auto"/>
            <w:color w:val="0000EE"/>
          </w:rPr>
          <w:t>BOARD MATTERS</w:t>
        </w:r>
      </w:hyperlink>
    </w:p>
    <w:p>
      <w:pPr>
        <w:spacing w:after="0" w:line="1" w:lineRule="exact"/>
        <w:rPr>
          <w:sz w:val="20"/>
          <w:szCs w:val="20"/>
          <w:color w:val="auto"/>
        </w:rPr>
      </w:pPr>
    </w:p>
    <w:p>
      <w:pPr>
        <w:ind w:left="4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Director Nominations and Appointments</w:t>
        </w:r>
      </w:hyperlink>
    </w:p>
    <w:p>
      <w:pPr>
        <w:spacing w:after="0" w:line="42" w:lineRule="exact"/>
        <w:rPr>
          <w:sz w:val="20"/>
          <w:szCs w:val="20"/>
          <w:color w:val="auto"/>
        </w:rPr>
      </w:pPr>
    </w:p>
    <w:p>
      <w:pPr>
        <w:ind w:left="4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Family Relationships</w:t>
        </w:r>
      </w:hyperlink>
    </w:p>
    <w:p>
      <w:pPr>
        <w:spacing w:after="0" w:line="42" w:lineRule="exact"/>
        <w:rPr>
          <w:sz w:val="20"/>
          <w:szCs w:val="20"/>
          <w:color w:val="auto"/>
        </w:rPr>
      </w:pPr>
    </w:p>
    <w:p>
      <w:pPr>
        <w:ind w:left="4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Oversight by Our Board of Directors</w:t>
        </w:r>
      </w:hyperlink>
    </w:p>
    <w:p>
      <w:pPr>
        <w:spacing w:after="0" w:line="42" w:lineRule="exact"/>
        <w:rPr>
          <w:sz w:val="20"/>
          <w:szCs w:val="20"/>
          <w:color w:val="auto"/>
        </w:rPr>
      </w:pPr>
    </w:p>
    <w:p>
      <w:pPr>
        <w:ind w:left="400" w:right="400"/>
        <w:spacing w:after="0" w:line="295" w:lineRule="auto"/>
        <w:rPr>
          <w:rFonts w:ascii="Arial" w:cs="Arial" w:eastAsia="Arial" w:hAnsi="Arial"/>
          <w:sz w:val="14"/>
          <w:szCs w:val="14"/>
          <w:u w:val="single" w:color="auto"/>
          <w:color w:val="0000EE"/>
        </w:rPr>
      </w:pPr>
      <w:hyperlink w:anchor="page26">
        <w:r>
          <w:rPr>
            <w:rFonts w:ascii="Arial" w:cs="Arial" w:eastAsia="Arial" w:hAnsi="Arial"/>
            <w:sz w:val="14"/>
            <w:szCs w:val="14"/>
            <w:u w:val="single" w:color="auto"/>
            <w:color w:val="0000EE"/>
          </w:rPr>
          <w:t>Board Leadership Structure—Balanced Leadership Among Chief</w:t>
        </w:r>
      </w:hyperlink>
      <w:r>
        <w:rPr>
          <w:rFonts w:ascii="Arial" w:cs="Arial" w:eastAsia="Arial" w:hAnsi="Arial"/>
          <w:sz w:val="14"/>
          <w:szCs w:val="14"/>
          <w:u w:val="single" w:color="auto"/>
          <w:color w:val="0000EE"/>
        </w:rPr>
        <w:t xml:space="preserve"> </w:t>
      </w:r>
      <w:hyperlink w:anchor="page26">
        <w:r>
          <w:rPr>
            <w:rFonts w:ascii="Arial" w:cs="Arial" w:eastAsia="Arial" w:hAnsi="Arial"/>
            <w:sz w:val="14"/>
            <w:szCs w:val="14"/>
            <w:u w:val="single" w:color="auto"/>
            <w:color w:val="0000EE"/>
          </w:rPr>
          <w:t>Executive Officer and Empowered Independent Directors</w:t>
        </w:r>
      </w:hyperlink>
      <w:r>
        <w:rPr>
          <w:rFonts w:ascii="Arial" w:cs="Arial" w:eastAsia="Arial" w:hAnsi="Arial"/>
          <w:sz w:val="14"/>
          <w:szCs w:val="14"/>
          <w:u w:val="single" w:color="auto"/>
          <w:color w:val="0000EE"/>
        </w:rPr>
        <w:t xml:space="preserve"> </w:t>
      </w:r>
      <w:hyperlink w:anchor="page26">
        <w:r>
          <w:rPr>
            <w:rFonts w:ascii="Arial" w:cs="Arial" w:eastAsia="Arial" w:hAnsi="Arial"/>
            <w:sz w:val="14"/>
            <w:szCs w:val="14"/>
            <w:u w:val="single" w:color="auto"/>
            <w:color w:val="0000EE"/>
          </w:rPr>
          <w:t>Meetings of Our Board and Committees</w:t>
        </w:r>
      </w:hyperlink>
    </w:p>
    <w:p>
      <w:pPr>
        <w:ind w:left="40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Board and Committee Responsibilities for Risk Oversight</w:t>
        </w:r>
      </w:hyperlink>
    </w:p>
    <w:p>
      <w:pPr>
        <w:spacing w:after="0" w:line="42" w:lineRule="exact"/>
        <w:rPr>
          <w:rFonts w:ascii="Arial" w:cs="Arial" w:eastAsia="Arial" w:hAnsi="Arial"/>
          <w:sz w:val="14"/>
          <w:szCs w:val="14"/>
          <w:u w:val="single" w:color="auto"/>
          <w:color w:val="0000EE"/>
        </w:rPr>
      </w:pPr>
    </w:p>
    <w:p>
      <w:pPr>
        <w:ind w:left="400" w:right="20"/>
        <w:spacing w:after="0" w:line="291" w:lineRule="auto"/>
        <w:rPr>
          <w:rFonts w:ascii="Arial" w:cs="Arial" w:eastAsia="Arial" w:hAnsi="Arial"/>
          <w:sz w:val="14"/>
          <w:szCs w:val="14"/>
          <w:u w:val="single" w:color="auto"/>
          <w:color w:val="0000EE"/>
        </w:rPr>
      </w:pPr>
      <w:hyperlink w:anchor="page29">
        <w:r>
          <w:rPr>
            <w:rFonts w:ascii="Arial" w:cs="Arial" w:eastAsia="Arial" w:hAnsi="Arial"/>
            <w:sz w:val="14"/>
            <w:szCs w:val="14"/>
            <w:u w:val="single" w:color="auto"/>
            <w:color w:val="0000EE"/>
          </w:rPr>
          <w:t>Tailored Corporate Governance Policies to Ensure Integrity and Ethical</w:t>
        </w:r>
      </w:hyperlink>
      <w:r>
        <w:rPr>
          <w:rFonts w:ascii="Arial" w:cs="Arial" w:eastAsia="Arial" w:hAnsi="Arial"/>
          <w:sz w:val="14"/>
          <w:szCs w:val="14"/>
          <w:u w:val="single" w:color="auto"/>
          <w:color w:val="0000EE"/>
        </w:rPr>
        <w:t xml:space="preserve"> </w:t>
      </w:r>
      <w:hyperlink w:anchor="page29">
        <w:r>
          <w:rPr>
            <w:rFonts w:ascii="Arial" w:cs="Arial" w:eastAsia="Arial" w:hAnsi="Arial"/>
            <w:sz w:val="14"/>
            <w:szCs w:val="14"/>
            <w:u w:val="single" w:color="auto"/>
            <w:color w:val="0000EE"/>
          </w:rPr>
          <w:t>Conduct</w:t>
        </w:r>
      </w:hyperlink>
    </w:p>
    <w:p>
      <w:pPr>
        <w:spacing w:after="0" w:line="1" w:lineRule="exact"/>
        <w:rPr>
          <w:sz w:val="20"/>
          <w:szCs w:val="20"/>
          <w:color w:val="auto"/>
        </w:rPr>
      </w:pPr>
    </w:p>
    <w:p>
      <w:pPr>
        <w:ind w:left="400" w:right="280"/>
        <w:spacing w:after="0" w:line="291" w:lineRule="auto"/>
        <w:rPr>
          <w:rFonts w:ascii="Arial" w:cs="Arial" w:eastAsia="Arial" w:hAnsi="Arial"/>
          <w:sz w:val="14"/>
          <w:szCs w:val="14"/>
          <w:u w:val="single" w:color="auto"/>
          <w:color w:val="0000EE"/>
        </w:rPr>
      </w:pPr>
      <w:hyperlink w:anchor="page30">
        <w:r>
          <w:rPr>
            <w:rFonts w:ascii="Arial" w:cs="Arial" w:eastAsia="Arial" w:hAnsi="Arial"/>
            <w:sz w:val="14"/>
            <w:szCs w:val="14"/>
            <w:u w:val="single" w:color="auto"/>
            <w:color w:val="0000EE"/>
          </w:rPr>
          <w:t>Board Evaluation Process—Assisting In The Transition To A Public</w:t>
        </w:r>
      </w:hyperlink>
      <w:r>
        <w:rPr>
          <w:rFonts w:ascii="Arial" w:cs="Arial" w:eastAsia="Arial" w:hAnsi="Arial"/>
          <w:sz w:val="14"/>
          <w:szCs w:val="14"/>
          <w:u w:val="single" w:color="auto"/>
          <w:color w:val="0000EE"/>
        </w:rPr>
        <w:t xml:space="preserve"> </w:t>
      </w:r>
      <w:hyperlink w:anchor="page30">
        <w:r>
          <w:rPr>
            <w:rFonts w:ascii="Arial" w:cs="Arial" w:eastAsia="Arial" w:hAnsi="Arial"/>
            <w:sz w:val="14"/>
            <w:szCs w:val="14"/>
            <w:u w:val="single" w:color="auto"/>
            <w:color w:val="0000EE"/>
          </w:rPr>
          <w:t>Company Model of Governance</w:t>
        </w:r>
      </w:hyperlink>
    </w:p>
    <w:p>
      <w:pPr>
        <w:spacing w:after="0" w:line="1" w:lineRule="exact"/>
        <w:rPr>
          <w:sz w:val="20"/>
          <w:szCs w:val="20"/>
          <w:color w:val="auto"/>
        </w:rPr>
      </w:pPr>
    </w:p>
    <w:p>
      <w:pPr>
        <w:ind w:left="400" w:right="260"/>
        <w:spacing w:after="0" w:line="286" w:lineRule="auto"/>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Director Onboarding and Continuing Education—Connecting New</w:t>
        </w:r>
      </w:hyperlink>
      <w:r>
        <w:rPr>
          <w:rFonts w:ascii="Arial" w:cs="Arial" w:eastAsia="Arial" w:hAnsi="Arial"/>
          <w:sz w:val="14"/>
          <w:szCs w:val="14"/>
          <w:u w:val="single" w:color="auto"/>
          <w:color w:val="0000EE"/>
        </w:rPr>
        <w:t xml:space="preserve"> </w:t>
      </w:r>
      <w:hyperlink w:anchor="page31">
        <w:r>
          <w:rPr>
            <w:rFonts w:ascii="Arial" w:cs="Arial" w:eastAsia="Arial" w:hAnsi="Arial"/>
            <w:sz w:val="14"/>
            <w:szCs w:val="14"/>
            <w:u w:val="single" w:color="auto"/>
            <w:color w:val="0000EE"/>
          </w:rPr>
          <w:t>Directors To The Company’s Unique Culture and Business, and</w:t>
        </w:r>
      </w:hyperlink>
      <w:r>
        <w:rPr>
          <w:rFonts w:ascii="Arial" w:cs="Arial" w:eastAsia="Arial" w:hAnsi="Arial"/>
          <w:sz w:val="14"/>
          <w:szCs w:val="14"/>
          <w:u w:val="single" w:color="auto"/>
          <w:color w:val="0000EE"/>
        </w:rPr>
        <w:t xml:space="preserve"> </w:t>
      </w:r>
      <w:hyperlink w:anchor="page31">
        <w:r>
          <w:rPr>
            <w:rFonts w:ascii="Arial" w:cs="Arial" w:eastAsia="Arial" w:hAnsi="Arial"/>
            <w:sz w:val="14"/>
            <w:szCs w:val="14"/>
            <w:u w:val="single" w:color="auto"/>
            <w:color w:val="0000EE"/>
          </w:rPr>
          <w:t>Maintaining Key Expertise In An Evolving Regulatory and Business</w:t>
        </w:r>
      </w:hyperlink>
      <w:r>
        <w:rPr>
          <w:rFonts w:ascii="Arial" w:cs="Arial" w:eastAsia="Arial" w:hAnsi="Arial"/>
          <w:sz w:val="14"/>
          <w:szCs w:val="14"/>
          <w:u w:val="single" w:color="auto"/>
          <w:color w:val="0000EE"/>
        </w:rPr>
        <w:t xml:space="preserve"> </w:t>
      </w:r>
      <w:hyperlink w:anchor="page31">
        <w:r>
          <w:rPr>
            <w:rFonts w:ascii="Arial" w:cs="Arial" w:eastAsia="Arial" w:hAnsi="Arial"/>
            <w:sz w:val="14"/>
            <w:szCs w:val="14"/>
            <w:u w:val="single" w:color="auto"/>
            <w:color w:val="0000EE"/>
          </w:rPr>
          <w:t>Landscape</w:t>
        </w:r>
      </w:hyperlink>
    </w:p>
    <w:p>
      <w:pPr>
        <w:spacing w:after="0" w:line="2" w:lineRule="exact"/>
        <w:rPr>
          <w:rFonts w:ascii="Arial" w:cs="Arial" w:eastAsia="Arial" w:hAnsi="Arial"/>
          <w:sz w:val="14"/>
          <w:szCs w:val="14"/>
          <w:u w:val="single" w:color="auto"/>
          <w:color w:val="0000EE"/>
        </w:rPr>
      </w:pPr>
    </w:p>
    <w:p>
      <w:pPr>
        <w:ind w:left="400" w:right="1840"/>
        <w:spacing w:after="0" w:line="308" w:lineRule="auto"/>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Communications With Our Board</w:t>
        </w:r>
      </w:hyperlink>
      <w:r>
        <w:rPr>
          <w:rFonts w:ascii="Arial" w:cs="Arial" w:eastAsia="Arial" w:hAnsi="Arial"/>
          <w:sz w:val="14"/>
          <w:szCs w:val="14"/>
          <w:u w:val="single" w:color="auto"/>
          <w:color w:val="0000EE"/>
        </w:rPr>
        <w:t xml:space="preserve"> </w:t>
      </w:r>
      <w:hyperlink w:anchor="page32">
        <w:r>
          <w:rPr>
            <w:rFonts w:ascii="Arial" w:cs="Arial" w:eastAsia="Arial" w:hAnsi="Arial"/>
            <w:sz w:val="14"/>
            <w:szCs w:val="14"/>
            <w:u w:val="single" w:color="auto"/>
            <w:color w:val="0000EE"/>
          </w:rPr>
          <w:t>Compensation of Non-Employee Directors</w:t>
        </w:r>
      </w:hyperlink>
    </w:p>
    <w:p>
      <w:pPr>
        <w:ind w:left="120"/>
        <w:spacing w:after="0"/>
        <w:rPr>
          <w:rFonts w:ascii="Arial" w:cs="Arial" w:eastAsia="Arial" w:hAnsi="Arial"/>
          <w:sz w:val="16"/>
          <w:szCs w:val="16"/>
          <w:b w:val="1"/>
          <w:bCs w:val="1"/>
          <w:u w:val="single" w:color="auto"/>
          <w:color w:val="0000EE"/>
        </w:rPr>
      </w:pPr>
      <w:hyperlink w:anchor="page34">
        <w:r>
          <w:rPr>
            <w:rFonts w:ascii="Arial" w:cs="Arial" w:eastAsia="Arial" w:hAnsi="Arial"/>
            <w:sz w:val="16"/>
            <w:szCs w:val="16"/>
            <w:b w:val="1"/>
            <w:bCs w:val="1"/>
            <w:u w:val="single" w:color="auto"/>
            <w:color w:val="0000EE"/>
          </w:rPr>
          <w:t>EXECUTIVE OFFICERS</w:t>
        </w:r>
      </w:hyperlink>
    </w:p>
    <w:p>
      <w:pPr>
        <w:spacing w:after="0" w:line="64" w:lineRule="exact"/>
        <w:rPr>
          <w:sz w:val="20"/>
          <w:szCs w:val="20"/>
          <w:color w:val="auto"/>
        </w:rPr>
      </w:pPr>
    </w:p>
    <w:p>
      <w:pPr>
        <w:ind w:left="400" w:right="1520"/>
        <w:spacing w:after="0" w:line="301" w:lineRule="auto"/>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Named Executive Officer Compensation Tables</w:t>
        </w:r>
      </w:hyperlink>
      <w:r>
        <w:rPr>
          <w:rFonts w:ascii="Arial" w:cs="Arial" w:eastAsia="Arial" w:hAnsi="Arial"/>
          <w:sz w:val="14"/>
          <w:szCs w:val="14"/>
          <w:u w:val="single" w:color="auto"/>
          <w:color w:val="0000EE"/>
        </w:rPr>
        <w:t xml:space="preserve"> </w:t>
      </w:r>
      <w:hyperlink w:anchor="page37">
        <w:r>
          <w:rPr>
            <w:rFonts w:ascii="Arial" w:cs="Arial" w:eastAsia="Arial" w:hAnsi="Arial"/>
            <w:sz w:val="14"/>
            <w:szCs w:val="14"/>
            <w:u w:val="single" w:color="auto"/>
            <w:color w:val="0000EE"/>
          </w:rPr>
          <w:t>2021 Summary Compensation Table</w:t>
        </w:r>
      </w:hyperlink>
    </w:p>
    <w:p>
      <w:pPr>
        <w:spacing w:after="0" w:line="1" w:lineRule="exact"/>
        <w:rPr>
          <w:sz w:val="20"/>
          <w:szCs w:val="20"/>
          <w:color w:val="auto"/>
        </w:rPr>
      </w:pPr>
    </w:p>
    <w:p>
      <w:pPr>
        <w:ind w:left="400" w:right="1040"/>
        <w:spacing w:after="0" w:line="301" w:lineRule="auto"/>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Narrative Disclosure To Summary Compensation Table</w:t>
        </w:r>
      </w:hyperlink>
      <w:r>
        <w:rPr>
          <w:rFonts w:ascii="Arial" w:cs="Arial" w:eastAsia="Arial" w:hAnsi="Arial"/>
          <w:sz w:val="14"/>
          <w:szCs w:val="14"/>
          <w:u w:val="single" w:color="auto"/>
          <w:color w:val="0000EE"/>
        </w:rPr>
        <w:t xml:space="preserve"> </w:t>
      </w:r>
      <w:hyperlink w:anchor="page39">
        <w:r>
          <w:rPr>
            <w:rFonts w:ascii="Arial" w:cs="Arial" w:eastAsia="Arial" w:hAnsi="Arial"/>
            <w:sz w:val="14"/>
            <w:szCs w:val="14"/>
            <w:u w:val="single" w:color="auto"/>
            <w:color w:val="0000EE"/>
          </w:rPr>
          <w:t>Outstanding Equity Awards At December 31, 2021</w:t>
        </w:r>
      </w:hyperlink>
    </w:p>
    <w:p>
      <w:pPr>
        <w:spacing w:after="0" w:line="1" w:lineRule="exact"/>
        <w:rPr>
          <w:sz w:val="20"/>
          <w:szCs w:val="20"/>
          <w:color w:val="auto"/>
        </w:rPr>
      </w:pPr>
    </w:p>
    <w:p>
      <w:pPr>
        <w:ind w:left="400" w:right="260"/>
        <w:spacing w:after="0" w:line="325" w:lineRule="auto"/>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Potential Payments Upon Termination of Employment or Change In</w:t>
        </w:r>
      </w:hyperlink>
      <w:r>
        <w:rPr>
          <w:rFonts w:ascii="Arial" w:cs="Arial" w:eastAsia="Arial" w:hAnsi="Arial"/>
          <w:sz w:val="14"/>
          <w:szCs w:val="14"/>
          <w:u w:val="single" w:color="auto"/>
          <w:color w:val="0000EE"/>
        </w:rPr>
        <w:t xml:space="preserve"> </w:t>
      </w:r>
      <w:hyperlink w:anchor="page39">
        <w:r>
          <w:rPr>
            <w:rFonts w:ascii="Arial" w:cs="Arial" w:eastAsia="Arial" w:hAnsi="Arial"/>
            <w:sz w:val="14"/>
            <w:szCs w:val="14"/>
            <w:u w:val="single" w:color="auto"/>
            <w:color w:val="0000EE"/>
          </w:rPr>
          <w:t>Control of the Company</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76"/>
        </w:trPr>
        <w:tc>
          <w:tcPr>
            <w:tcW w:w="480" w:type="dxa"/>
            <w:vAlign w:val="bottom"/>
          </w:tcPr>
          <w:p>
            <w:pPr>
              <w:jc w:val="right"/>
              <w:ind w:right="328"/>
              <w:spacing w:after="0"/>
              <w:rPr>
                <w:sz w:val="20"/>
                <w:szCs w:val="20"/>
                <w:color w:val="auto"/>
              </w:rPr>
            </w:pPr>
            <w:r>
              <w:rPr>
                <w:rFonts w:ascii="Arial" w:cs="Arial" w:eastAsia="Arial" w:hAnsi="Arial"/>
                <w:sz w:val="15"/>
                <w:szCs w:val="15"/>
                <w:b w:val="1"/>
                <w:bCs w:val="1"/>
                <w:color w:val="60BAFF"/>
                <w:w w:val="71"/>
              </w:rPr>
              <w:t>1</w:t>
            </w:r>
          </w:p>
        </w:tc>
        <w:tc>
          <w:tcPr>
            <w:tcW w:w="280" w:type="dxa"/>
            <w:vAlign w:val="bottom"/>
          </w:tcPr>
          <w:p>
            <w:pPr>
              <w:spacing w:after="0"/>
              <w:rPr>
                <w:sz w:val="15"/>
                <w:szCs w:val="15"/>
                <w:color w:val="auto"/>
              </w:rPr>
            </w:pPr>
          </w:p>
        </w:tc>
        <w:tc>
          <w:tcPr>
            <w:tcW w:w="2220" w:type="dxa"/>
            <w:vAlign w:val="bottom"/>
            <w:tcBorders>
              <w:bottom w:val="single" w:sz="8" w:color="0000EE"/>
            </w:tcBorders>
            <w:gridSpan w:val="4"/>
          </w:tcPr>
          <w:p>
            <w:pPr>
              <w:spacing w:after="0"/>
              <w:rPr>
                <w:rFonts w:ascii="Arial" w:cs="Arial" w:eastAsia="Arial" w:hAnsi="Arial"/>
                <w:sz w:val="14"/>
                <w:szCs w:val="14"/>
                <w:color w:val="0000EE"/>
              </w:rPr>
            </w:pPr>
            <w:hyperlink w:anchor="page40">
              <w:r>
                <w:rPr>
                  <w:rFonts w:ascii="Arial" w:cs="Arial" w:eastAsia="Arial" w:hAnsi="Arial"/>
                  <w:sz w:val="14"/>
                  <w:szCs w:val="14"/>
                  <w:color w:val="0000EE"/>
                </w:rPr>
                <w:t>Other Compensation and Benefits</w:t>
              </w:r>
            </w:hyperlink>
          </w:p>
        </w:tc>
        <w:tc>
          <w:tcPr>
            <w:tcW w:w="2420" w:type="dxa"/>
            <w:vAlign w:val="bottom"/>
            <w:gridSpan w:val="6"/>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1</w:t>
            </w:r>
          </w:p>
        </w:tc>
        <w:tc>
          <w:tcPr>
            <w:tcW w:w="280" w:type="dxa"/>
            <w:vAlign w:val="bottom"/>
          </w:tcPr>
          <w:p>
            <w:pPr>
              <w:spacing w:after="0"/>
              <w:rPr>
                <w:sz w:val="15"/>
                <w:szCs w:val="15"/>
                <w:color w:val="auto"/>
              </w:rPr>
            </w:pPr>
          </w:p>
        </w:tc>
        <w:tc>
          <w:tcPr>
            <w:tcW w:w="4640" w:type="dxa"/>
            <w:vAlign w:val="bottom"/>
            <w:gridSpan w:val="10"/>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Certain Relationships and Related Person Transactions</w:t>
              </w:r>
            </w:hyperlink>
          </w:p>
        </w:tc>
        <w:tc>
          <w:tcPr>
            <w:tcW w:w="42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07"/>
        </w:trPr>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3540" w:type="dxa"/>
            <w:vAlign w:val="bottom"/>
            <w:tcBorders>
              <w:top w:val="single" w:sz="8" w:color="0000EE"/>
            </w:tcBorders>
            <w:gridSpan w:val="8"/>
            <w:vMerge w:val="restart"/>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Related Person Transactions Policy</w:t>
              </w:r>
            </w:hyperlink>
          </w:p>
        </w:tc>
        <w:tc>
          <w:tcPr>
            <w:tcW w:w="1100" w:type="dxa"/>
            <w:vAlign w:val="bottom"/>
            <w:gridSpan w:val="2"/>
            <w:vMerge w:val="restart"/>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6"/>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2</w:t>
            </w:r>
          </w:p>
        </w:tc>
        <w:tc>
          <w:tcPr>
            <w:tcW w:w="280" w:type="dxa"/>
            <w:vAlign w:val="bottom"/>
          </w:tcPr>
          <w:p>
            <w:pPr>
              <w:spacing w:after="0"/>
              <w:rPr>
                <w:sz w:val="6"/>
                <w:szCs w:val="6"/>
                <w:color w:val="auto"/>
              </w:rPr>
            </w:pPr>
          </w:p>
        </w:tc>
        <w:tc>
          <w:tcPr>
            <w:tcW w:w="3540" w:type="dxa"/>
            <w:vAlign w:val="bottom"/>
            <w:gridSpan w:val="8"/>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Borders>
              <w:top w:val="single" w:sz="8" w:color="0000EE"/>
            </w:tcBorders>
            <w:gridSpan w:val="5"/>
            <w:vMerge w:val="restart"/>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Transactions with Related Persons</w:t>
              </w:r>
            </w:hyperlink>
          </w:p>
        </w:tc>
        <w:tc>
          <w:tcPr>
            <w:tcW w:w="2360" w:type="dxa"/>
            <w:vAlign w:val="bottom"/>
            <w:gridSpan w:val="5"/>
            <w:vMerge w:val="restart"/>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6"/>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4</w:t>
            </w:r>
          </w:p>
        </w:tc>
        <w:tc>
          <w:tcPr>
            <w:tcW w:w="280" w:type="dxa"/>
            <w:vAlign w:val="bottom"/>
          </w:tcPr>
          <w:p>
            <w:pPr>
              <w:spacing w:after="0"/>
              <w:rPr>
                <w:sz w:val="3"/>
                <w:szCs w:val="3"/>
                <w:color w:val="auto"/>
              </w:rPr>
            </w:pPr>
          </w:p>
        </w:tc>
        <w:tc>
          <w:tcPr>
            <w:tcW w:w="2280" w:type="dxa"/>
            <w:vAlign w:val="bottom"/>
            <w:gridSpan w:val="5"/>
            <w:vMerge w:val="continue"/>
          </w:tcPr>
          <w:p>
            <w:pPr>
              <w:spacing w:after="0"/>
              <w:rPr>
                <w:sz w:val="3"/>
                <w:szCs w:val="3"/>
                <w:color w:val="auto"/>
              </w:rPr>
            </w:pPr>
          </w:p>
        </w:tc>
        <w:tc>
          <w:tcPr>
            <w:tcW w:w="2360" w:type="dxa"/>
            <w:vAlign w:val="bottom"/>
            <w:gridSpan w:val="5"/>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80" w:type="dxa"/>
            <w:vAlign w:val="bottom"/>
            <w:vMerge w:val="continue"/>
          </w:tcPr>
          <w:p>
            <w:pPr>
              <w:spacing w:after="0"/>
              <w:rPr>
                <w:sz w:val="11"/>
                <w:szCs w:val="11"/>
                <w:color w:val="auto"/>
              </w:rPr>
            </w:pPr>
          </w:p>
        </w:tc>
        <w:tc>
          <w:tcPr>
            <w:tcW w:w="4680" w:type="dxa"/>
            <w:vAlign w:val="bottom"/>
            <w:gridSpan w:val="10"/>
            <w:vMerge w:val="restart"/>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SECURITY OWNERSHIP OF CERTAIN BENEFICIAL OWNERS</w:t>
              </w:r>
            </w:hyperlink>
          </w:p>
        </w:tc>
        <w:tc>
          <w:tcPr>
            <w:tcW w:w="24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6</w:t>
            </w:r>
          </w:p>
        </w:tc>
        <w:tc>
          <w:tcPr>
            <w:tcW w:w="4680" w:type="dxa"/>
            <w:vAlign w:val="bottom"/>
            <w:tcBorders>
              <w:bottom w:val="single" w:sz="8" w:color="0000EE"/>
            </w:tcBorders>
            <w:gridSpan w:val="10"/>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480" w:type="dxa"/>
            <w:vAlign w:val="bottom"/>
            <w:vMerge w:val="continue"/>
          </w:tcPr>
          <w:p>
            <w:pPr>
              <w:spacing w:after="0"/>
              <w:rPr>
                <w:sz w:val="14"/>
                <w:szCs w:val="14"/>
                <w:color w:val="auto"/>
              </w:rPr>
            </w:pPr>
          </w:p>
        </w:tc>
        <w:tc>
          <w:tcPr>
            <w:tcW w:w="1580" w:type="dxa"/>
            <w:vAlign w:val="bottom"/>
            <w:gridSpan w:val="2"/>
            <w:vMerge w:val="restart"/>
          </w:tcPr>
          <w:p>
            <w:pPr>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AND MANAGEMENT</w:t>
              </w:r>
            </w:hyperlink>
          </w:p>
        </w:tc>
        <w:tc>
          <w:tcPr>
            <w:tcW w:w="3340" w:type="dxa"/>
            <w:vAlign w:val="bottom"/>
            <w:gridSpan w:val="9"/>
            <w:vMerge w:val="restart"/>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60BAFF"/>
              </w:rPr>
              <w:t>37</w:t>
            </w:r>
          </w:p>
        </w:tc>
        <w:tc>
          <w:tcPr>
            <w:tcW w:w="0" w:type="dxa"/>
            <w:vAlign w:val="bottom"/>
          </w:tcPr>
          <w:p>
            <w:pPr>
              <w:spacing w:after="0"/>
              <w:rPr>
                <w:sz w:val="1"/>
                <w:szCs w:val="1"/>
                <w:color w:val="auto"/>
              </w:rPr>
            </w:pPr>
          </w:p>
        </w:tc>
      </w:tr>
      <w:tr>
        <w:trPr>
          <w:trHeight w:val="54"/>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7</w:t>
            </w:r>
          </w:p>
        </w:tc>
        <w:tc>
          <w:tcPr>
            <w:tcW w:w="1580" w:type="dxa"/>
            <w:vAlign w:val="bottom"/>
            <w:tcBorders>
              <w:bottom w:val="single" w:sz="8" w:color="0000EE"/>
            </w:tcBorders>
            <w:gridSpan w:val="2"/>
            <w:vMerge w:val="continue"/>
          </w:tcPr>
          <w:p>
            <w:pPr>
              <w:spacing w:after="0"/>
              <w:rPr>
                <w:sz w:val="4"/>
                <w:szCs w:val="4"/>
                <w:color w:val="auto"/>
              </w:rPr>
            </w:pPr>
          </w:p>
        </w:tc>
        <w:tc>
          <w:tcPr>
            <w:tcW w:w="3340" w:type="dxa"/>
            <w:vAlign w:val="bottom"/>
            <w:gridSpan w:val="9"/>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80" w:type="dxa"/>
            <w:vAlign w:val="bottom"/>
            <w:vMerge w:val="continue"/>
          </w:tcPr>
          <w:p>
            <w:pPr>
              <w:spacing w:after="0"/>
              <w:rPr>
                <w:sz w:val="15"/>
                <w:szCs w:val="15"/>
                <w:color w:val="auto"/>
              </w:rPr>
            </w:pPr>
          </w:p>
        </w:tc>
        <w:tc>
          <w:tcPr>
            <w:tcW w:w="2240" w:type="dxa"/>
            <w:vAlign w:val="bottom"/>
            <w:gridSpan w:val="3"/>
            <w:vMerge w:val="restart"/>
          </w:tcPr>
          <w:p>
            <w:pPr>
              <w:spacing w:after="0"/>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AUDIT COMMITTEE REPORT</w:t>
              </w:r>
            </w:hyperlink>
          </w:p>
        </w:tc>
        <w:tc>
          <w:tcPr>
            <w:tcW w:w="2680" w:type="dxa"/>
            <w:vAlign w:val="bottom"/>
            <w:gridSpan w:val="8"/>
            <w:vMerge w:val="restart"/>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60BAFF"/>
              </w:rPr>
              <w:t>40</w:t>
            </w:r>
          </w:p>
        </w:tc>
        <w:tc>
          <w:tcPr>
            <w:tcW w:w="0" w:type="dxa"/>
            <w:vAlign w:val="bottom"/>
          </w:tcPr>
          <w:p>
            <w:pPr>
              <w:spacing w:after="0"/>
              <w:rPr>
                <w:sz w:val="1"/>
                <w:szCs w:val="1"/>
                <w:color w:val="auto"/>
              </w:rPr>
            </w:pPr>
          </w:p>
        </w:tc>
      </w:tr>
      <w:tr>
        <w:trPr>
          <w:trHeight w:val="67"/>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8</w:t>
            </w:r>
          </w:p>
        </w:tc>
        <w:tc>
          <w:tcPr>
            <w:tcW w:w="2240" w:type="dxa"/>
            <w:vAlign w:val="bottom"/>
            <w:tcBorders>
              <w:bottom w:val="single" w:sz="8" w:color="0000EE"/>
            </w:tcBorders>
            <w:gridSpan w:val="3"/>
            <w:vMerge w:val="continue"/>
          </w:tcPr>
          <w:p>
            <w:pPr>
              <w:spacing w:after="0"/>
              <w:rPr>
                <w:sz w:val="5"/>
                <w:szCs w:val="5"/>
                <w:color w:val="auto"/>
              </w:rPr>
            </w:pPr>
          </w:p>
        </w:tc>
        <w:tc>
          <w:tcPr>
            <w:tcW w:w="2680" w:type="dxa"/>
            <w:vAlign w:val="bottom"/>
            <w:gridSpan w:val="8"/>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80" w:type="dxa"/>
            <w:vAlign w:val="bottom"/>
            <w:vMerge w:val="continue"/>
          </w:tcPr>
          <w:p>
            <w:pPr>
              <w:spacing w:after="0"/>
              <w:rPr>
                <w:sz w:val="14"/>
                <w:szCs w:val="14"/>
                <w:color w:val="auto"/>
              </w:rPr>
            </w:pPr>
          </w:p>
        </w:tc>
        <w:tc>
          <w:tcPr>
            <w:tcW w:w="4920" w:type="dxa"/>
            <w:vAlign w:val="bottom"/>
            <w:gridSpan w:val="11"/>
            <w:vMerge w:val="restart"/>
          </w:tcPr>
          <w:p>
            <w:pPr>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AUDIT COMMITTEE MATTERS</w:t>
              </w:r>
            </w:hyperlink>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60BAFF"/>
              </w:rPr>
              <w:t>41</w:t>
            </w:r>
          </w:p>
        </w:tc>
        <w:tc>
          <w:tcPr>
            <w:tcW w:w="0" w:type="dxa"/>
            <w:vAlign w:val="bottom"/>
          </w:tcPr>
          <w:p>
            <w:pPr>
              <w:spacing w:after="0"/>
              <w:rPr>
                <w:sz w:val="1"/>
                <w:szCs w:val="1"/>
                <w:color w:val="auto"/>
              </w:rPr>
            </w:pPr>
          </w:p>
        </w:tc>
      </w:tr>
      <w:tr>
        <w:trPr>
          <w:trHeight w:val="75"/>
        </w:trPr>
        <w:tc>
          <w:tcPr>
            <w:tcW w:w="480" w:type="dxa"/>
            <w:vAlign w:val="bottom"/>
          </w:tcPr>
          <w:p>
            <w:pPr>
              <w:spacing w:after="0"/>
              <w:rPr>
                <w:sz w:val="6"/>
                <w:szCs w:val="6"/>
                <w:color w:val="auto"/>
              </w:rPr>
            </w:pPr>
          </w:p>
        </w:tc>
        <w:tc>
          <w:tcPr>
            <w:tcW w:w="4920" w:type="dxa"/>
            <w:vAlign w:val="bottom"/>
            <w:gridSpan w:val="11"/>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vMerge w:val="restart"/>
          </w:tcPr>
          <w:p>
            <w:pPr>
              <w:jc w:val="right"/>
              <w:ind w:right="328"/>
              <w:spacing w:after="0"/>
              <w:rPr>
                <w:sz w:val="20"/>
                <w:szCs w:val="20"/>
                <w:color w:val="auto"/>
              </w:rPr>
            </w:pPr>
            <w:r>
              <w:rPr>
                <w:rFonts w:ascii="Arial" w:cs="Arial" w:eastAsia="Arial" w:hAnsi="Arial"/>
                <w:sz w:val="14"/>
                <w:szCs w:val="14"/>
                <w:color w:val="auto"/>
                <w:w w:val="76"/>
              </w:rPr>
              <w:t>9</w:t>
            </w:r>
          </w:p>
        </w:tc>
        <w:tc>
          <w:tcPr>
            <w:tcW w:w="280" w:type="dxa"/>
            <w:vAlign w:val="bottom"/>
          </w:tcPr>
          <w:p>
            <w:pPr>
              <w:spacing w:after="0"/>
              <w:rPr>
                <w:sz w:val="18"/>
                <w:szCs w:val="18"/>
                <w:color w:val="auto"/>
              </w:rPr>
            </w:pPr>
          </w:p>
        </w:tc>
        <w:tc>
          <w:tcPr>
            <w:tcW w:w="2440" w:type="dxa"/>
            <w:vAlign w:val="bottom"/>
            <w:tcBorders>
              <w:bottom w:val="single" w:sz="8" w:color="0000EE"/>
            </w:tcBorders>
            <w:gridSpan w:val="6"/>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Pre-Approval Policies and Procedures</w:t>
              </w:r>
            </w:hyperlink>
          </w:p>
        </w:tc>
        <w:tc>
          <w:tcPr>
            <w:tcW w:w="220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1"/>
        </w:trPr>
        <w:tc>
          <w:tcPr>
            <w:tcW w:w="4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420" w:type="dxa"/>
            <w:vAlign w:val="bottom"/>
            <w:gridSpan w:val="7"/>
            <w:vMerge w:val="restart"/>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Independent Registered Public Accounting Firm Fees</w:t>
              </w:r>
            </w:hyperlink>
          </w:p>
        </w:tc>
        <w:tc>
          <w:tcPr>
            <w:tcW w:w="1220" w:type="dxa"/>
            <w:vAlign w:val="bottom"/>
            <w:gridSpan w:val="3"/>
            <w:vMerge w:val="restart"/>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Borders>
              <w:bottom w:val="single" w:sz="8" w:color="0000EE"/>
            </w:tcBorders>
            <w:gridSpan w:val="7"/>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0" w:hanging="475"/>
        <w:spacing w:after="0" w:line="188" w:lineRule="auto"/>
        <w:tabs>
          <w:tab w:leader="none" w:pos="580" w:val="left"/>
        </w:tabs>
        <w:numPr>
          <w:ilvl w:val="0"/>
          <w:numId w:val="7"/>
        </w:numPr>
        <w:rPr>
          <w:rFonts w:ascii="Arial" w:cs="Arial" w:eastAsia="Arial" w:hAnsi="Arial"/>
          <w:sz w:val="16"/>
          <w:szCs w:val="16"/>
          <w:b w:val="1"/>
          <w:bCs w:val="1"/>
          <w:u w:val="single" w:color="auto"/>
          <w:color w:val="0000EE"/>
        </w:rPr>
      </w:pPr>
      <w:hyperlink w:anchor="page47">
        <w:r>
          <w:rPr>
            <w:rFonts w:ascii="Arial" w:cs="Arial" w:eastAsia="Arial" w:hAnsi="Arial"/>
            <w:sz w:val="16"/>
            <w:szCs w:val="16"/>
            <w:b w:val="1"/>
            <w:bCs w:val="1"/>
            <w:u w:val="single" w:color="auto"/>
            <w:color w:val="0000EE"/>
          </w:rPr>
          <w:t>PROPOSAL NO. 2—APPROVAL OF AMENDMENT TO THE</w:t>
        </w:r>
      </w:hyperlink>
    </w:p>
    <w:tbl>
      <w:tblPr>
        <w:tblLayout w:type="fixed"/>
        <w:tblInd w:w="0" w:type="dxa"/>
        <w:tblCellMar>
          <w:top w:w="0" w:type="dxa"/>
          <w:left w:w="0" w:type="dxa"/>
          <w:bottom w:w="0" w:type="dxa"/>
          <w:right w:w="0" w:type="dxa"/>
        </w:tblCellMar>
      </w:tblPr>
      <w:tr>
        <w:trPr>
          <w:trHeight w:val="184"/>
        </w:trPr>
        <w:tc>
          <w:tcPr>
            <w:tcW w:w="580" w:type="dxa"/>
            <w:vAlign w:val="bottom"/>
          </w:tcPr>
          <w:p>
            <w:pPr>
              <w:jc w:val="right"/>
              <w:ind w:right="326"/>
              <w:spacing w:after="0"/>
              <w:rPr>
                <w:sz w:val="20"/>
                <w:szCs w:val="20"/>
                <w:color w:val="auto"/>
              </w:rPr>
            </w:pPr>
            <w:r>
              <w:rPr>
                <w:rFonts w:ascii="Arial" w:cs="Arial" w:eastAsia="Arial" w:hAnsi="Arial"/>
                <w:sz w:val="14"/>
                <w:szCs w:val="14"/>
                <w:color w:val="auto"/>
              </w:rPr>
              <w:t>12</w:t>
            </w:r>
          </w:p>
        </w:tc>
        <w:tc>
          <w:tcPr>
            <w:tcW w:w="3960" w:type="dxa"/>
            <w:vAlign w:val="bottom"/>
            <w:tcBorders>
              <w:bottom w:val="single" w:sz="8" w:color="0000EE"/>
            </w:tcBorders>
            <w:gridSpan w:val="11"/>
          </w:tcPr>
          <w:p>
            <w:pPr>
              <w:spacing w:after="0" w:line="165" w:lineRule="exact"/>
              <w:rPr>
                <w:rFonts w:ascii="Arial" w:cs="Arial" w:eastAsia="Arial" w:hAnsi="Arial"/>
                <w:sz w:val="16"/>
                <w:szCs w:val="16"/>
                <w:b w:val="1"/>
                <w:bCs w:val="1"/>
                <w:color w:val="0000EE"/>
                <w:w w:val="99"/>
              </w:rPr>
            </w:pPr>
            <w:hyperlink w:anchor="page47">
              <w:r>
                <w:rPr>
                  <w:rFonts w:ascii="Arial" w:cs="Arial" w:eastAsia="Arial" w:hAnsi="Arial"/>
                  <w:sz w:val="16"/>
                  <w:szCs w:val="16"/>
                  <w:b w:val="1"/>
                  <w:bCs w:val="1"/>
                  <w:color w:val="0000EE"/>
                  <w:w w:val="99"/>
                </w:rPr>
                <w:t>NERDWALLET, INC. 2021 EQUITY INCENTIVE PLAN</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jc w:val="right"/>
              <w:spacing w:after="0" w:line="184" w:lineRule="exact"/>
              <w:rPr>
                <w:sz w:val="20"/>
                <w:szCs w:val="20"/>
                <w:color w:val="auto"/>
              </w:rPr>
            </w:pPr>
            <w:r>
              <w:rPr>
                <w:rFonts w:ascii="Arial" w:cs="Arial" w:eastAsia="Arial" w:hAnsi="Arial"/>
                <w:sz w:val="18"/>
                <w:szCs w:val="18"/>
                <w:b w:val="1"/>
                <w:bCs w:val="1"/>
                <w:color w:val="60BAFF"/>
              </w:rPr>
              <w:t>42</w:t>
            </w:r>
          </w:p>
        </w:tc>
        <w:tc>
          <w:tcPr>
            <w:tcW w:w="0" w:type="dxa"/>
            <w:vAlign w:val="bottom"/>
          </w:tcPr>
          <w:p>
            <w:pPr>
              <w:spacing w:after="0"/>
              <w:rPr>
                <w:sz w:val="1"/>
                <w:szCs w:val="1"/>
                <w:color w:val="auto"/>
              </w:rPr>
            </w:pPr>
          </w:p>
        </w:tc>
      </w:tr>
      <w:tr>
        <w:trPr>
          <w:trHeight w:val="209"/>
        </w:trPr>
        <w:tc>
          <w:tcPr>
            <w:tcW w:w="580" w:type="dxa"/>
            <w:vAlign w:val="bottom"/>
          </w:tcPr>
          <w:p>
            <w:pPr>
              <w:jc w:val="right"/>
              <w:ind w:right="326"/>
              <w:spacing w:after="0"/>
              <w:rPr>
                <w:sz w:val="20"/>
                <w:szCs w:val="20"/>
                <w:color w:val="auto"/>
              </w:rPr>
            </w:pPr>
            <w:r>
              <w:rPr>
                <w:rFonts w:ascii="Arial" w:cs="Arial" w:eastAsia="Arial" w:hAnsi="Arial"/>
                <w:sz w:val="16"/>
                <w:szCs w:val="16"/>
                <w:b w:val="1"/>
                <w:bCs w:val="1"/>
                <w:color w:val="60BAFF"/>
                <w:w w:val="89"/>
              </w:rPr>
              <w:t>14</w:t>
            </w:r>
          </w:p>
        </w:tc>
        <w:tc>
          <w:tcPr>
            <w:tcW w:w="280" w:type="dxa"/>
            <w:vAlign w:val="bottom"/>
          </w:tcPr>
          <w:p>
            <w:pPr>
              <w:spacing w:after="0"/>
              <w:rPr>
                <w:sz w:val="18"/>
                <w:szCs w:val="18"/>
                <w:color w:val="auto"/>
              </w:rPr>
            </w:pPr>
          </w:p>
        </w:tc>
        <w:tc>
          <w:tcPr>
            <w:tcW w:w="760" w:type="dxa"/>
            <w:vAlign w:val="bottom"/>
            <w:tcBorders>
              <w:bottom w:val="single" w:sz="8" w:color="0000EE"/>
            </w:tcBorders>
            <w:gridSpan w:val="2"/>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Introduction</w:t>
              </w:r>
            </w:hyperlink>
          </w:p>
        </w:tc>
        <w:tc>
          <w:tcPr>
            <w:tcW w:w="3960" w:type="dxa"/>
            <w:vAlign w:val="bottom"/>
            <w:gridSpan w:val="13"/>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6"/>
        </w:trPr>
        <w:tc>
          <w:tcPr>
            <w:tcW w:w="580" w:type="dxa"/>
            <w:vAlign w:val="bottom"/>
          </w:tcPr>
          <w:p>
            <w:pPr>
              <w:jc w:val="right"/>
              <w:ind w:right="326"/>
              <w:spacing w:after="0" w:line="176" w:lineRule="exact"/>
              <w:rPr>
                <w:sz w:val="20"/>
                <w:szCs w:val="20"/>
                <w:color w:val="auto"/>
              </w:rPr>
            </w:pPr>
            <w:r>
              <w:rPr>
                <w:rFonts w:ascii="Arial" w:cs="Arial" w:eastAsia="Arial" w:hAnsi="Arial"/>
                <w:sz w:val="16"/>
                <w:szCs w:val="16"/>
                <w:b w:val="1"/>
                <w:bCs w:val="1"/>
                <w:color w:val="60BAFF"/>
                <w:w w:val="89"/>
              </w:rPr>
              <w:t>19</w:t>
            </w:r>
          </w:p>
        </w:tc>
        <w:tc>
          <w:tcPr>
            <w:tcW w:w="280" w:type="dxa"/>
            <w:vAlign w:val="bottom"/>
          </w:tcPr>
          <w:p>
            <w:pPr>
              <w:spacing w:after="0"/>
              <w:rPr>
                <w:sz w:val="17"/>
                <w:szCs w:val="17"/>
                <w:color w:val="auto"/>
              </w:rPr>
            </w:pPr>
          </w:p>
        </w:tc>
        <w:tc>
          <w:tcPr>
            <w:tcW w:w="3980" w:type="dxa"/>
            <w:vAlign w:val="bottom"/>
            <w:tcBorders>
              <w:bottom w:val="single" w:sz="8" w:color="0000EE"/>
            </w:tcBorders>
            <w:gridSpan w:val="12"/>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Why Stockholders Should Approve the 2021 Plan Amendment</w:t>
              </w:r>
            </w:hyperlink>
          </w:p>
        </w:tc>
        <w:tc>
          <w:tcPr>
            <w:tcW w:w="740" w:type="dxa"/>
            <w:vAlign w:val="bottom"/>
            <w:gridSpan w:val="3"/>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580" w:type="dxa"/>
            <w:vAlign w:val="bottom"/>
          </w:tcPr>
          <w:p>
            <w:pPr>
              <w:jc w:val="right"/>
              <w:ind w:right="326"/>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7"/>
                <w:szCs w:val="17"/>
                <w:color w:val="auto"/>
              </w:rPr>
            </w:pPr>
          </w:p>
        </w:tc>
        <w:tc>
          <w:tcPr>
            <w:tcW w:w="4720" w:type="dxa"/>
            <w:vAlign w:val="bottom"/>
            <w:gridSpan w:val="15"/>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Summary of the Amended Plan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6"/>
        </w:trPr>
        <w:tc>
          <w:tcPr>
            <w:tcW w:w="580" w:type="dxa"/>
            <w:vAlign w:val="bottom"/>
          </w:tcPr>
          <w:p>
            <w:pPr>
              <w:jc w:val="right"/>
              <w:ind w:right="326"/>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7"/>
                <w:szCs w:val="17"/>
                <w:color w:val="auto"/>
              </w:rPr>
            </w:pPr>
          </w:p>
        </w:tc>
        <w:tc>
          <w:tcPr>
            <w:tcW w:w="2000" w:type="dxa"/>
            <w:vAlign w:val="bottom"/>
            <w:tcBorders>
              <w:top w:val="single" w:sz="8" w:color="0000EE"/>
            </w:tcBorders>
            <w:gridSpan w:val="6"/>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New Plan Benefits</w:t>
              </w:r>
            </w:hyperlink>
          </w:p>
        </w:tc>
        <w:tc>
          <w:tcPr>
            <w:tcW w:w="2720" w:type="dxa"/>
            <w:vAlign w:val="bottom"/>
            <w:gridSpan w:val="9"/>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326"/>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Historical Grant Information</w:t>
              </w:r>
            </w:hyperlink>
          </w:p>
        </w:tc>
        <w:tc>
          <w:tcPr>
            <w:tcW w:w="2960" w:type="dxa"/>
            <w:vAlign w:val="bottom"/>
            <w:gridSpan w:val="11"/>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580" w:type="dxa"/>
            <w:vAlign w:val="bottom"/>
            <w:vMerge w:val="restart"/>
          </w:tcPr>
          <w:p>
            <w:pPr>
              <w:jc w:val="right"/>
              <w:ind w:right="326"/>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7"/>
                <w:szCs w:val="17"/>
                <w:color w:val="auto"/>
              </w:rPr>
            </w:pPr>
          </w:p>
        </w:tc>
        <w:tc>
          <w:tcPr>
            <w:tcW w:w="4720" w:type="dxa"/>
            <w:vAlign w:val="bottom"/>
            <w:gridSpan w:val="15"/>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U.S. Federal Income Tax Considerations</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gridSpan w:val="11"/>
            <w:vMerge w:val="restart"/>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Registration with the Securities and Exchange Commission</w:t>
              </w:r>
            </w:hyperlink>
          </w:p>
        </w:tc>
        <w:tc>
          <w:tcPr>
            <w:tcW w:w="940" w:type="dxa"/>
            <w:vAlign w:val="bottom"/>
            <w:gridSpan w:val="4"/>
            <w:vMerge w:val="restart"/>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580" w:type="dxa"/>
            <w:vAlign w:val="bottom"/>
            <w:vMerge w:val="restart"/>
          </w:tcPr>
          <w:p>
            <w:pPr>
              <w:jc w:val="right"/>
              <w:ind w:right="326"/>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line="20" w:lineRule="exact"/>
              <w:rPr>
                <w:sz w:val="1"/>
                <w:szCs w:val="1"/>
                <w:color w:val="auto"/>
              </w:rPr>
            </w:pPr>
          </w:p>
        </w:tc>
        <w:tc>
          <w:tcPr>
            <w:tcW w:w="3780" w:type="dxa"/>
            <w:vAlign w:val="bottom"/>
            <w:tcBorders>
              <w:bottom w:val="single" w:sz="8" w:color="0000EE"/>
            </w:tcBorders>
            <w:gridSpan w:val="11"/>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720" w:type="dxa"/>
            <w:vAlign w:val="bottom"/>
            <w:gridSpan w:val="15"/>
            <w:vMerge w:val="restart"/>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Equity Compensation Plan Information</w:t>
              </w:r>
            </w:hyperlink>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5"/>
        </w:trPr>
        <w:tc>
          <w:tcPr>
            <w:tcW w:w="580" w:type="dxa"/>
            <w:vAlign w:val="bottom"/>
            <w:vMerge w:val="restart"/>
          </w:tcPr>
          <w:p>
            <w:pPr>
              <w:jc w:val="right"/>
              <w:ind w:right="326"/>
              <w:spacing w:after="0"/>
              <w:rPr>
                <w:sz w:val="20"/>
                <w:szCs w:val="20"/>
                <w:color w:val="auto"/>
              </w:rPr>
            </w:pPr>
            <w:r>
              <w:rPr>
                <w:rFonts w:ascii="Arial" w:cs="Arial" w:eastAsia="Arial" w:hAnsi="Arial"/>
                <w:sz w:val="14"/>
                <w:szCs w:val="14"/>
                <w:color w:val="auto"/>
              </w:rPr>
              <w:t>23</w:t>
            </w:r>
          </w:p>
        </w:tc>
        <w:tc>
          <w:tcPr>
            <w:tcW w:w="280" w:type="dxa"/>
            <w:vAlign w:val="bottom"/>
          </w:tcPr>
          <w:p>
            <w:pPr>
              <w:spacing w:after="0"/>
              <w:rPr>
                <w:sz w:val="3"/>
                <w:szCs w:val="3"/>
                <w:color w:val="auto"/>
              </w:rPr>
            </w:pPr>
          </w:p>
        </w:tc>
        <w:tc>
          <w:tcPr>
            <w:tcW w:w="4720" w:type="dxa"/>
            <w:vAlign w:val="bottom"/>
            <w:gridSpan w:val="15"/>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80" w:type="dxa"/>
            <w:vAlign w:val="bottom"/>
            <w:vMerge w:val="continue"/>
          </w:tcPr>
          <w:p>
            <w:pPr>
              <w:spacing w:after="0"/>
              <w:rPr>
                <w:sz w:val="12"/>
                <w:szCs w:val="12"/>
                <w:color w:val="auto"/>
              </w:rPr>
            </w:pPr>
          </w:p>
        </w:tc>
        <w:tc>
          <w:tcPr>
            <w:tcW w:w="5000" w:type="dxa"/>
            <w:vAlign w:val="bottom"/>
            <w:gridSpan w:val="16"/>
            <w:vMerge w:val="restart"/>
          </w:tcPr>
          <w:p>
            <w:pPr>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PROPOSAL NO. 3—RATIFICATION OF APPOINTMENT OF</w:t>
              </w:r>
            </w:hyperlink>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580" w:type="dxa"/>
            <w:vAlign w:val="bottom"/>
          </w:tcPr>
          <w:p>
            <w:pPr>
              <w:spacing w:after="0"/>
              <w:rPr>
                <w:sz w:val="6"/>
                <w:szCs w:val="6"/>
                <w:color w:val="auto"/>
              </w:rPr>
            </w:pPr>
          </w:p>
        </w:tc>
        <w:tc>
          <w:tcPr>
            <w:tcW w:w="5000" w:type="dxa"/>
            <w:vAlign w:val="bottom"/>
            <w:gridSpan w:val="16"/>
            <w:vMerge w:val="continue"/>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jc w:val="right"/>
              <w:ind w:right="326"/>
              <w:spacing w:after="0"/>
              <w:rPr>
                <w:sz w:val="20"/>
                <w:szCs w:val="20"/>
                <w:color w:val="auto"/>
              </w:rPr>
            </w:pPr>
            <w:r>
              <w:rPr>
                <w:rFonts w:ascii="Arial" w:cs="Arial" w:eastAsia="Arial" w:hAnsi="Arial"/>
                <w:sz w:val="14"/>
                <w:szCs w:val="14"/>
                <w:color w:val="auto"/>
              </w:rPr>
              <w:t>24</w:t>
            </w:r>
          </w:p>
        </w:tc>
        <w:tc>
          <w:tcPr>
            <w:tcW w:w="4880" w:type="dxa"/>
            <w:vAlign w:val="bottom"/>
            <w:tcBorders>
              <w:bottom w:val="single" w:sz="8" w:color="0000EE"/>
            </w:tcBorders>
            <w:gridSpan w:val="15"/>
          </w:tcPr>
          <w:p>
            <w:pPr>
              <w:spacing w:after="0"/>
              <w:rPr>
                <w:rFonts w:ascii="Arial" w:cs="Arial" w:eastAsia="Arial" w:hAnsi="Arial"/>
                <w:sz w:val="16"/>
                <w:szCs w:val="16"/>
                <w:b w:val="1"/>
                <w:bCs w:val="1"/>
                <w:color w:val="0000EE"/>
              </w:rPr>
            </w:pPr>
            <w:hyperlink w:anchor="page56">
              <w:r>
                <w:rPr>
                  <w:rFonts w:ascii="Arial" w:cs="Arial" w:eastAsia="Arial" w:hAnsi="Arial"/>
                  <w:sz w:val="16"/>
                  <w:szCs w:val="16"/>
                  <w:b w:val="1"/>
                  <w:bCs w:val="1"/>
                  <w:color w:val="0000EE"/>
                </w:rPr>
                <w:t>INDEPENDENT REGISTERED PUBLIC ACCOUNTING FIRM FOR</w:t>
              </w:r>
            </w:hyperlink>
          </w:p>
        </w:tc>
        <w:tc>
          <w:tcPr>
            <w:tcW w:w="1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80" w:type="dxa"/>
            <w:vAlign w:val="bottom"/>
            <w:vMerge w:val="continue"/>
          </w:tcPr>
          <w:p>
            <w:pPr>
              <w:spacing w:after="0"/>
              <w:rPr>
                <w:sz w:val="5"/>
                <w:szCs w:val="5"/>
                <w:color w:val="auto"/>
              </w:rPr>
            </w:pPr>
          </w:p>
        </w:tc>
        <w:tc>
          <w:tcPr>
            <w:tcW w:w="360" w:type="dxa"/>
            <w:vAlign w:val="bottom"/>
            <w:gridSpan w:val="2"/>
            <w:vMerge w:val="restart"/>
          </w:tcPr>
          <w:p>
            <w:pPr>
              <w:spacing w:after="0"/>
              <w:rPr>
                <w:rFonts w:ascii="Arial" w:cs="Arial" w:eastAsia="Arial" w:hAnsi="Arial"/>
                <w:sz w:val="16"/>
                <w:szCs w:val="16"/>
                <w:b w:val="1"/>
                <w:bCs w:val="1"/>
                <w:color w:val="0000EE"/>
                <w:w w:val="95"/>
              </w:rPr>
            </w:pPr>
            <w:hyperlink w:anchor="page56">
              <w:r>
                <w:rPr>
                  <w:rFonts w:ascii="Arial" w:cs="Arial" w:eastAsia="Arial" w:hAnsi="Arial"/>
                  <w:sz w:val="16"/>
                  <w:szCs w:val="16"/>
                  <w:b w:val="1"/>
                  <w:bCs w:val="1"/>
                  <w:color w:val="0000EE"/>
                  <w:w w:val="95"/>
                </w:rPr>
                <w:t>2022</w:t>
              </w:r>
            </w:hyperlink>
          </w:p>
        </w:tc>
        <w:tc>
          <w:tcPr>
            <w:tcW w:w="1040" w:type="dxa"/>
            <w:vAlign w:val="bottom"/>
            <w:gridSpan w:val="2"/>
          </w:tcPr>
          <w:p>
            <w:pPr>
              <w:spacing w:after="0"/>
              <w:rPr>
                <w:sz w:val="5"/>
                <w:szCs w:val="5"/>
                <w:color w:val="auto"/>
              </w:rPr>
            </w:pPr>
          </w:p>
        </w:tc>
        <w:tc>
          <w:tcPr>
            <w:tcW w:w="760" w:type="dxa"/>
            <w:vAlign w:val="bottom"/>
            <w:gridSpan w:val="2"/>
          </w:tcPr>
          <w:p>
            <w:pPr>
              <w:spacing w:after="0"/>
              <w:rPr>
                <w:sz w:val="5"/>
                <w:szCs w:val="5"/>
                <w:color w:val="auto"/>
              </w:rPr>
            </w:pPr>
          </w:p>
        </w:tc>
        <w:tc>
          <w:tcPr>
            <w:tcW w:w="1500" w:type="dxa"/>
            <w:vAlign w:val="bottom"/>
            <w:gridSpan w:val="4"/>
          </w:tcPr>
          <w:p>
            <w:pPr>
              <w:spacing w:after="0"/>
              <w:rPr>
                <w:sz w:val="5"/>
                <w:szCs w:val="5"/>
                <w:color w:val="auto"/>
              </w:rPr>
            </w:pPr>
          </w:p>
        </w:tc>
        <w:tc>
          <w:tcPr>
            <w:tcW w:w="1220" w:type="dxa"/>
            <w:vAlign w:val="bottom"/>
            <w:gridSpan w:val="5"/>
          </w:tcPr>
          <w:p>
            <w:pPr>
              <w:spacing w:after="0"/>
              <w:rPr>
                <w:sz w:val="5"/>
                <w:szCs w:val="5"/>
                <w:color w:val="auto"/>
              </w:rPr>
            </w:pPr>
          </w:p>
        </w:tc>
        <w:tc>
          <w:tcPr>
            <w:tcW w:w="120" w:type="dxa"/>
            <w:vAlign w:val="bottom"/>
            <w:vMerge w:val="continue"/>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60BAFF"/>
              </w:rPr>
              <w:t>51</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0" w:type="dxa"/>
            <w:vAlign w:val="bottom"/>
            <w:tcBorders>
              <w:bottom w:val="single" w:sz="8" w:color="0000EE"/>
            </w:tcBorders>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jc w:val="right"/>
              <w:ind w:right="326"/>
              <w:spacing w:after="0"/>
              <w:rPr>
                <w:sz w:val="20"/>
                <w:szCs w:val="20"/>
                <w:color w:val="auto"/>
              </w:rPr>
            </w:pPr>
            <w:r>
              <w:rPr>
                <w:rFonts w:ascii="Arial" w:cs="Arial" w:eastAsia="Arial" w:hAnsi="Arial"/>
                <w:sz w:val="14"/>
                <w:szCs w:val="14"/>
                <w:color w:val="auto"/>
              </w:rPr>
              <w:t>25</w:t>
            </w:r>
          </w:p>
        </w:tc>
        <w:tc>
          <w:tcPr>
            <w:tcW w:w="280" w:type="dxa"/>
            <w:vAlign w:val="bottom"/>
          </w:tcPr>
          <w:p>
            <w:pPr>
              <w:spacing w:after="0"/>
              <w:rPr>
                <w:sz w:val="18"/>
                <w:szCs w:val="18"/>
                <w:color w:val="auto"/>
              </w:rPr>
            </w:pPr>
          </w:p>
        </w:tc>
        <w:tc>
          <w:tcPr>
            <w:tcW w:w="4720" w:type="dxa"/>
            <w:vAlign w:val="bottom"/>
            <w:gridSpan w:val="15"/>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Support for Recommendation</w:t>
              </w:r>
            </w:hyperlink>
          </w:p>
        </w:tc>
        <w:tc>
          <w:tcPr>
            <w:tcW w:w="3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top w:val="single" w:sz="8" w:color="0000EE"/>
            </w:tcBorders>
            <w:gridSpan w:val="5"/>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Non-Binding Vote</w:t>
              </w:r>
            </w:hyperlink>
          </w:p>
        </w:tc>
        <w:tc>
          <w:tcPr>
            <w:tcW w:w="2840" w:type="dxa"/>
            <w:vAlign w:val="bottom"/>
            <w:gridSpan w:val="10"/>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80" w:type="dxa"/>
            <w:vAlign w:val="bottom"/>
            <w:tcBorders>
              <w:bottom w:val="single" w:sz="8" w:color="0000EE"/>
            </w:tcBorders>
            <w:gridSpan w:val="9"/>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Inquiries of Deloitte &amp; Touche LLP at Annual Meeting</w:t>
              </w:r>
            </w:hyperlink>
          </w:p>
        </w:tc>
        <w:tc>
          <w:tcPr>
            <w:tcW w:w="1340" w:type="dxa"/>
            <w:vAlign w:val="bottom"/>
            <w:gridSpan w:val="6"/>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bl>
    <w:p>
      <w:pPr>
        <w:ind w:left="580" w:hanging="555"/>
        <w:spacing w:after="0" w:line="198" w:lineRule="auto"/>
        <w:tabs>
          <w:tab w:leader="none" w:pos="580" w:val="left"/>
        </w:tabs>
        <w:numPr>
          <w:ilvl w:val="0"/>
          <w:numId w:val="8"/>
        </w:numPr>
        <w:rPr>
          <w:rFonts w:ascii="Arial" w:cs="Arial" w:eastAsia="Arial" w:hAnsi="Arial"/>
          <w:sz w:val="16"/>
          <w:szCs w:val="16"/>
          <w:b w:val="1"/>
          <w:bCs w:val="1"/>
          <w:u w:val="single" w:color="auto"/>
          <w:color w:val="0000EE"/>
        </w:rPr>
      </w:pPr>
      <w:hyperlink w:anchor="page58">
        <w:r>
          <w:rPr>
            <w:rFonts w:ascii="Arial" w:cs="Arial" w:eastAsia="Arial" w:hAnsi="Arial"/>
            <w:sz w:val="16"/>
            <w:szCs w:val="16"/>
            <w:b w:val="1"/>
            <w:bCs w:val="1"/>
            <w:u w:val="single" w:color="auto"/>
            <w:color w:val="0000EE"/>
          </w:rPr>
          <w:t>QUESTIONS and ANSWERS ABOUT THE PROXY MATERIALS</w:t>
        </w:r>
      </w:hyperlink>
    </w:p>
    <w:tbl>
      <w:tblPr>
        <w:tblLayout w:type="fixed"/>
        <w:tblInd w:w="20" w:type="dxa"/>
        <w:tblCellMar>
          <w:top w:w="0" w:type="dxa"/>
          <w:left w:w="0" w:type="dxa"/>
          <w:bottom w:w="0" w:type="dxa"/>
          <w:right w:w="0" w:type="dxa"/>
        </w:tblCellMar>
      </w:tblPr>
      <w:tr>
        <w:trPr>
          <w:trHeight w:val="184"/>
        </w:trPr>
        <w:tc>
          <w:tcPr>
            <w:tcW w:w="560" w:type="dxa"/>
            <w:vAlign w:val="bottom"/>
            <w:vMerge w:val="restart"/>
          </w:tcPr>
          <w:p>
            <w:pPr>
              <w:jc w:val="right"/>
              <w:ind w:right="328"/>
              <w:spacing w:after="0"/>
              <w:rPr>
                <w:sz w:val="20"/>
                <w:szCs w:val="20"/>
                <w:color w:val="auto"/>
              </w:rPr>
            </w:pPr>
            <w:r>
              <w:rPr>
                <w:rFonts w:ascii="Arial" w:cs="Arial" w:eastAsia="Arial" w:hAnsi="Arial"/>
                <w:sz w:val="14"/>
                <w:szCs w:val="14"/>
                <w:color w:val="auto"/>
                <w:w w:val="89"/>
              </w:rPr>
              <w:t>26</w:t>
            </w:r>
          </w:p>
        </w:tc>
        <w:tc>
          <w:tcPr>
            <w:tcW w:w="2200" w:type="dxa"/>
            <w:vAlign w:val="bottom"/>
            <w:tcBorders>
              <w:bottom w:val="single" w:sz="8" w:color="0000EE"/>
            </w:tcBorders>
            <w:gridSpan w:val="2"/>
          </w:tcPr>
          <w:p>
            <w:pPr>
              <w:spacing w:after="0" w:line="164" w:lineRule="exact"/>
              <w:rPr>
                <w:rFonts w:ascii="Arial" w:cs="Arial" w:eastAsia="Arial" w:hAnsi="Arial"/>
                <w:sz w:val="16"/>
                <w:szCs w:val="16"/>
                <w:b w:val="1"/>
                <w:bCs w:val="1"/>
                <w:color w:val="0000EE"/>
              </w:rPr>
            </w:pPr>
            <w:hyperlink w:anchor="page58">
              <w:r>
                <w:rPr>
                  <w:rFonts w:ascii="Arial" w:cs="Arial" w:eastAsia="Arial" w:hAnsi="Arial"/>
                  <w:sz w:val="16"/>
                  <w:szCs w:val="16"/>
                  <w:b w:val="1"/>
                  <w:bCs w:val="1"/>
                  <w:color w:val="0000EE"/>
                </w:rPr>
                <w:t>and 2022 ANNUAL MEETING</w:t>
              </w:r>
            </w:hyperlink>
          </w:p>
        </w:tc>
        <w:tc>
          <w:tcPr>
            <w:tcW w:w="3140" w:type="dxa"/>
            <w:vAlign w:val="bottom"/>
            <w:vMerge w:val="restart"/>
          </w:tcPr>
          <w:p>
            <w:pPr>
              <w:jc w:val="right"/>
              <w:spacing w:after="0"/>
              <w:rPr>
                <w:sz w:val="20"/>
                <w:szCs w:val="20"/>
                <w:color w:val="auto"/>
              </w:rPr>
            </w:pPr>
            <w:r>
              <w:rPr>
                <w:rFonts w:ascii="Arial" w:cs="Arial" w:eastAsia="Arial" w:hAnsi="Arial"/>
                <w:sz w:val="16"/>
                <w:szCs w:val="16"/>
                <w:b w:val="1"/>
                <w:bCs w:val="1"/>
                <w:color w:val="60BAFF"/>
              </w:rPr>
              <w:t>53</w:t>
            </w:r>
          </w:p>
        </w:tc>
        <w:tc>
          <w:tcPr>
            <w:tcW w:w="0" w:type="dxa"/>
            <w:vAlign w:val="bottom"/>
          </w:tcPr>
          <w:p>
            <w:pPr>
              <w:spacing w:after="0"/>
              <w:rPr>
                <w:sz w:val="1"/>
                <w:szCs w:val="1"/>
                <w:color w:val="auto"/>
              </w:rPr>
            </w:pPr>
          </w:p>
        </w:tc>
      </w:tr>
      <w:tr>
        <w:trPr>
          <w:trHeight w:val="60"/>
        </w:trPr>
        <w:tc>
          <w:tcPr>
            <w:tcW w:w="5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60" w:type="dxa"/>
            <w:vAlign w:val="bottom"/>
          </w:tcPr>
          <w:p>
            <w:pPr>
              <w:jc w:val="right"/>
              <w:ind w:right="328"/>
              <w:spacing w:after="0"/>
              <w:rPr>
                <w:sz w:val="20"/>
                <w:szCs w:val="20"/>
                <w:color w:val="auto"/>
              </w:rPr>
            </w:pPr>
            <w:r>
              <w:rPr>
                <w:rFonts w:ascii="Arial" w:cs="Arial" w:eastAsia="Arial" w:hAnsi="Arial"/>
                <w:sz w:val="14"/>
                <w:szCs w:val="14"/>
                <w:color w:val="auto"/>
                <w:w w:val="89"/>
              </w:rPr>
              <w:t>27</w:t>
            </w:r>
          </w:p>
        </w:tc>
        <w:tc>
          <w:tcPr>
            <w:tcW w:w="2200" w:type="dxa"/>
            <w:vAlign w:val="bottom"/>
            <w:gridSpan w:val="2"/>
          </w:tcPr>
          <w:p>
            <w:pPr>
              <w:spacing w:after="0" w:line="176" w:lineRule="exact"/>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OTHER MATTERS</w:t>
              </w:r>
            </w:hyperlink>
          </w:p>
        </w:tc>
        <w:tc>
          <w:tcPr>
            <w:tcW w:w="3140" w:type="dxa"/>
            <w:vAlign w:val="bottom"/>
          </w:tcPr>
          <w:p>
            <w:pPr>
              <w:jc w:val="right"/>
              <w:spacing w:after="0" w:line="176" w:lineRule="exact"/>
              <w:rPr>
                <w:sz w:val="20"/>
                <w:szCs w:val="20"/>
                <w:color w:val="auto"/>
              </w:rPr>
            </w:pPr>
            <w:r>
              <w:rPr>
                <w:rFonts w:ascii="Arial" w:cs="Arial" w:eastAsia="Arial" w:hAnsi="Arial"/>
                <w:sz w:val="16"/>
                <w:szCs w:val="16"/>
                <w:b w:val="1"/>
                <w:bCs w:val="1"/>
                <w:color w:val="60BAFF"/>
              </w:rPr>
              <w:t>60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860" w:hanging="855"/>
        <w:spacing w:after="0"/>
        <w:tabs>
          <w:tab w:leader="none" w:pos="860" w:val="left"/>
        </w:tabs>
        <w:numPr>
          <w:ilvl w:val="0"/>
          <w:numId w:val="9"/>
        </w:numPr>
        <w:rPr>
          <w:rFonts w:ascii="Arial" w:cs="Arial" w:eastAsia="Arial" w:hAnsi="Arial"/>
          <w:sz w:val="14"/>
          <w:szCs w:val="14"/>
          <w:u w:val="single" w:color="auto"/>
          <w:color w:val="0000EE"/>
        </w:rPr>
      </w:pPr>
      <w:hyperlink w:anchor="page65">
        <w:r>
          <w:rPr>
            <w:rFonts w:ascii="Arial" w:cs="Arial" w:eastAsia="Arial" w:hAnsi="Arial"/>
            <w:sz w:val="14"/>
            <w:szCs w:val="14"/>
            <w:u w:val="single" w:color="auto"/>
            <w:color w:val="0000EE"/>
          </w:rPr>
          <w:t>Presentation of Stockholder Proposals and Nominations at 2023 Annual</w:t>
        </w:r>
      </w:hyperlink>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840" w:type="dxa"/>
            <w:vAlign w:val="bottom"/>
          </w:tcPr>
          <w:p>
            <w:pPr>
              <w:jc w:val="right"/>
              <w:ind w:right="608"/>
              <w:spacing w:after="0"/>
              <w:rPr>
                <w:sz w:val="20"/>
                <w:szCs w:val="20"/>
                <w:color w:val="auto"/>
              </w:rPr>
            </w:pPr>
            <w:r>
              <w:rPr>
                <w:rFonts w:ascii="Arial" w:cs="Arial" w:eastAsia="Arial" w:hAnsi="Arial"/>
                <w:sz w:val="14"/>
                <w:szCs w:val="14"/>
                <w:color w:val="auto"/>
                <w:w w:val="89"/>
              </w:rPr>
              <w:t>32</w:t>
            </w:r>
          </w:p>
        </w:tc>
        <w:tc>
          <w:tcPr>
            <w:tcW w:w="520" w:type="dxa"/>
            <w:vAlign w:val="bottom"/>
            <w:tcBorders>
              <w:bottom w:val="single" w:sz="8" w:color="0000EE"/>
            </w:tcBorders>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Meeting</w:t>
              </w:r>
            </w:hyperlink>
          </w:p>
        </w:tc>
        <w:tc>
          <w:tcPr>
            <w:tcW w:w="1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1"/>
        </w:trPr>
        <w:tc>
          <w:tcPr>
            <w:tcW w:w="840" w:type="dxa"/>
            <w:vAlign w:val="bottom"/>
          </w:tcPr>
          <w:p>
            <w:pPr>
              <w:jc w:val="right"/>
              <w:ind w:right="608"/>
              <w:spacing w:after="0"/>
              <w:rPr>
                <w:sz w:val="20"/>
                <w:szCs w:val="20"/>
                <w:color w:val="auto"/>
              </w:rPr>
            </w:pPr>
            <w:r>
              <w:rPr>
                <w:rFonts w:ascii="Arial" w:cs="Arial" w:eastAsia="Arial" w:hAnsi="Arial"/>
                <w:sz w:val="14"/>
                <w:szCs w:val="14"/>
                <w:color w:val="auto"/>
                <w:w w:val="89"/>
              </w:rPr>
              <w:t>32</w:t>
            </w:r>
          </w:p>
        </w:tc>
        <w:tc>
          <w:tcPr>
            <w:tcW w:w="2620" w:type="dxa"/>
            <w:vAlign w:val="bottom"/>
            <w:gridSpan w:val="3"/>
            <w:vMerge w:val="restart"/>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Access to Reports and Other Information</w:t>
              </w:r>
            </w:hyperlink>
          </w:p>
        </w:tc>
        <w:tc>
          <w:tcPr>
            <w:tcW w:w="114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
        </w:trPr>
        <w:tc>
          <w:tcPr>
            <w:tcW w:w="840" w:type="dxa"/>
            <w:vAlign w:val="bottom"/>
            <w:vMerge w:val="restart"/>
          </w:tcPr>
          <w:p>
            <w:pPr>
              <w:jc w:val="right"/>
              <w:ind w:right="608"/>
              <w:spacing w:after="0"/>
              <w:rPr>
                <w:sz w:val="20"/>
                <w:szCs w:val="20"/>
                <w:color w:val="auto"/>
              </w:rPr>
            </w:pPr>
            <w:r>
              <w:rPr>
                <w:rFonts w:ascii="Arial" w:cs="Arial" w:eastAsia="Arial" w:hAnsi="Arial"/>
                <w:sz w:val="14"/>
                <w:szCs w:val="14"/>
                <w:color w:val="auto"/>
                <w:w w:val="89"/>
              </w:rPr>
              <w:t>33</w:t>
            </w:r>
          </w:p>
        </w:tc>
        <w:tc>
          <w:tcPr>
            <w:tcW w:w="2620" w:type="dxa"/>
            <w:vAlign w:val="bottom"/>
            <w:tcBorders>
              <w:bottom w:val="single" w:sz="8" w:color="0000EE"/>
            </w:tcBorders>
            <w:gridSpan w:val="3"/>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0" w:type="dxa"/>
            <w:vAlign w:val="bottom"/>
            <w:vMerge w:val="continue"/>
          </w:tcPr>
          <w:p>
            <w:pPr>
              <w:spacing w:after="0"/>
              <w:rPr>
                <w:sz w:val="14"/>
                <w:szCs w:val="14"/>
                <w:color w:val="auto"/>
              </w:rPr>
            </w:pPr>
          </w:p>
        </w:tc>
        <w:tc>
          <w:tcPr>
            <w:tcW w:w="3760" w:type="dxa"/>
            <w:vAlign w:val="bottom"/>
            <w:gridSpan w:val="4"/>
            <w:vMerge w:val="restart"/>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Forward-Looking Statements</w:t>
              </w:r>
            </w:hyperlink>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2"/>
        </w:trPr>
        <w:tc>
          <w:tcPr>
            <w:tcW w:w="840" w:type="dxa"/>
            <w:vAlign w:val="bottom"/>
            <w:vMerge w:val="restart"/>
          </w:tcPr>
          <w:p>
            <w:pPr>
              <w:jc w:val="right"/>
              <w:ind w:right="608"/>
              <w:spacing w:after="0" w:line="159" w:lineRule="exact"/>
              <w:rPr>
                <w:sz w:val="20"/>
                <w:szCs w:val="20"/>
                <w:color w:val="auto"/>
              </w:rPr>
            </w:pPr>
            <w:r>
              <w:rPr>
                <w:rFonts w:ascii="Arial" w:cs="Arial" w:eastAsia="Arial" w:hAnsi="Arial"/>
                <w:sz w:val="14"/>
                <w:szCs w:val="14"/>
                <w:color w:val="auto"/>
                <w:w w:val="89"/>
              </w:rPr>
              <w:t>34</w:t>
            </w:r>
          </w:p>
        </w:tc>
        <w:tc>
          <w:tcPr>
            <w:tcW w:w="3760" w:type="dxa"/>
            <w:vAlign w:val="bottom"/>
            <w:gridSpan w:val="4"/>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40" w:type="dxa"/>
            <w:vAlign w:val="bottom"/>
            <w:vMerge w:val="continue"/>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34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580"/>
        <w:spacing w:after="0"/>
        <w:rPr>
          <w:rFonts w:ascii="Arial" w:cs="Arial" w:eastAsia="Arial" w:hAnsi="Arial"/>
          <w:sz w:val="16"/>
          <w:szCs w:val="16"/>
          <w:b w:val="1"/>
          <w:bCs w:val="1"/>
          <w:u w:val="single" w:color="auto"/>
          <w:color w:val="0000EE"/>
        </w:rPr>
      </w:pPr>
      <w:hyperlink w:anchor="page67">
        <w:r>
          <w:rPr>
            <w:rFonts w:ascii="Arial" w:cs="Arial" w:eastAsia="Arial" w:hAnsi="Arial"/>
            <w:sz w:val="16"/>
            <w:szCs w:val="16"/>
            <w:b w:val="1"/>
            <w:bCs w:val="1"/>
            <w:u w:val="single" w:color="auto"/>
            <w:color w:val="0000EE"/>
          </w:rPr>
          <w:t>ANNEX A—NERDWALLET, INC. 2021 EQUITY INCENTIVE PLAN,</w:t>
        </w:r>
      </w:hyperlink>
    </w:p>
    <w:p>
      <w:pPr>
        <w:spacing w:after="0" w:line="30" w:lineRule="exact"/>
        <w:rPr>
          <w:sz w:val="20"/>
          <w:szCs w:val="20"/>
          <w:color w:val="auto"/>
        </w:rPr>
      </w:pPr>
    </w:p>
    <w:p>
      <w:pPr>
        <w:ind w:left="580" w:hanging="555"/>
        <w:spacing w:after="0"/>
        <w:tabs>
          <w:tab w:leader="none" w:pos="580" w:val="left"/>
        </w:tabs>
        <w:numPr>
          <w:ilvl w:val="0"/>
          <w:numId w:val="10"/>
        </w:numPr>
        <w:rPr>
          <w:rFonts w:ascii="Arial" w:cs="Arial" w:eastAsia="Arial" w:hAnsi="Arial"/>
          <w:sz w:val="16"/>
          <w:szCs w:val="16"/>
          <w:b w:val="1"/>
          <w:bCs w:val="1"/>
          <w:u w:val="single" w:color="auto"/>
          <w:color w:val="0000EE"/>
        </w:rPr>
      </w:pPr>
      <w:hyperlink w:anchor="page67">
        <w:r>
          <w:rPr>
            <w:rFonts w:ascii="Arial" w:cs="Arial" w:eastAsia="Arial" w:hAnsi="Arial"/>
            <w:sz w:val="16"/>
            <w:szCs w:val="16"/>
            <w:b w:val="1"/>
            <w:bCs w:val="1"/>
            <w:u w:val="single" w:color="auto"/>
            <w:color w:val="0000EE"/>
          </w:rPr>
          <w:t>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209550</wp:posOffset>
            </wp:positionV>
            <wp:extent cx="6995160"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2">
            <w:col w:w="4940" w:space="220"/>
            <w:col w:w="5920"/>
          </w:cols>
          <w:pgMar w:left="320" w:top="455" w:right="49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Proxy Summary</w:t>
      </w:r>
    </w:p>
    <w:p>
      <w:pPr>
        <w:spacing w:after="0" w:line="377"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color w:val="auto"/>
        </w:rPr>
        <w:t>This proxy summary highlights information regarding NerdWallet, Inc. and certain information included elsewhere in this proxy statement. You should read the entire proxy statement before voting. You should also review our Annual Report on Form 10-K for the year ended December 31, 2021 for detailed information regarding the 2021 financial and operating performance of NerdWallet, Inc., including the audited financial statements and related notes included therein.</w:t>
      </w:r>
    </w:p>
    <w:p>
      <w:pPr>
        <w:sectPr>
          <w:pgSz w:w="11900" w:h="16838" w:orient="portrait"/>
          <w:cols w:equalWidth="0" w:num="1">
            <w:col w:w="11120"/>
          </w:cols>
          <w:pgMar w:left="320" w:top="455" w:right="459" w:bottom="1440" w:gutter="0" w:footer="0" w:header="0"/>
        </w:sectPr>
      </w:pPr>
    </w:p>
    <w:p>
      <w:pPr>
        <w:spacing w:after="0" w:line="1" w:lineRule="exact"/>
        <w:rPr>
          <w:sz w:val="20"/>
          <w:szCs w:val="20"/>
          <w:color w:val="auto"/>
        </w:rPr>
      </w:pPr>
    </w:p>
    <w:p>
      <w:pPr>
        <w:ind w:left="120" w:right="1000"/>
        <w:spacing w:after="0" w:line="275" w:lineRule="auto"/>
        <w:rPr>
          <w:sz w:val="20"/>
          <w:szCs w:val="20"/>
          <w:color w:val="auto"/>
        </w:rPr>
      </w:pPr>
      <w:r>
        <w:rPr>
          <w:rFonts w:ascii="Times New Roman" w:cs="Times New Roman" w:eastAsia="Times New Roman" w:hAnsi="Times New Roman"/>
          <w:sz w:val="50"/>
          <w:szCs w:val="50"/>
          <w:b w:val="1"/>
          <w:bCs w:val="1"/>
          <w:color w:val="auto"/>
        </w:rPr>
        <w:t>2022 Annual Meeting of Stockholders</w:t>
      </w:r>
    </w:p>
    <w:p>
      <w:pPr>
        <w:spacing w:after="0" w:line="4" w:lineRule="exact"/>
        <w:rPr>
          <w:sz w:val="20"/>
          <w:szCs w:val="20"/>
          <w:color w:val="auto"/>
        </w:rPr>
      </w:pPr>
    </w:p>
    <w:p>
      <w:pPr>
        <w:ind w:left="560"/>
        <w:spacing w:after="0"/>
        <w:tabs>
          <w:tab w:leader="none" w:pos="3680" w:val="left"/>
        </w:tabs>
        <w:rPr>
          <w:sz w:val="20"/>
          <w:szCs w:val="20"/>
          <w:color w:val="auto"/>
        </w:rPr>
      </w:pPr>
      <w:r>
        <w:rPr>
          <w:rFonts w:ascii="Arial" w:cs="Arial" w:eastAsia="Arial" w:hAnsi="Arial"/>
          <w:sz w:val="18"/>
          <w:szCs w:val="18"/>
          <w:b w:val="1"/>
          <w:bCs w:val="1"/>
          <w:color w:val="60BAFF"/>
        </w:rPr>
        <w:t>Date &amp; Time</w:t>
      </w:r>
      <w:r>
        <w:rPr>
          <w:sz w:val="20"/>
          <w:szCs w:val="20"/>
          <w:color w:val="auto"/>
        </w:rPr>
        <w:tab/>
      </w:r>
      <w:r>
        <w:rPr>
          <w:rFonts w:ascii="Arial" w:cs="Arial" w:eastAsia="Arial" w:hAnsi="Arial"/>
          <w:sz w:val="17"/>
          <w:szCs w:val="17"/>
          <w:b w:val="1"/>
          <w:bCs w:val="1"/>
          <w:color w:val="60BAFF"/>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19685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6850" cy="16319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-118745</wp:posOffset>
            </wp:positionV>
            <wp:extent cx="222885"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10" w:lineRule="exact"/>
        <w:rPr>
          <w:sz w:val="20"/>
          <w:szCs w:val="20"/>
          <w:color w:val="auto"/>
        </w:rPr>
      </w:pPr>
    </w:p>
    <w:p>
      <w:pPr>
        <w:ind w:left="560"/>
        <w:spacing w:after="0"/>
        <w:tabs>
          <w:tab w:leader="none" w:pos="3680" w:val="left"/>
        </w:tabs>
        <w:rPr>
          <w:sz w:val="20"/>
          <w:szCs w:val="20"/>
          <w:color w:val="auto"/>
        </w:rPr>
      </w:pPr>
      <w:r>
        <w:rPr>
          <w:rFonts w:ascii="Arial" w:cs="Arial" w:eastAsia="Arial" w:hAnsi="Arial"/>
          <w:sz w:val="16"/>
          <w:szCs w:val="16"/>
          <w:color w:val="auto"/>
        </w:rPr>
        <w:t>Wednesday, May 25, 2022</w:t>
      </w:r>
      <w:r>
        <w:rPr>
          <w:sz w:val="20"/>
          <w:szCs w:val="20"/>
          <w:color w:val="auto"/>
        </w:rPr>
        <w:tab/>
      </w:r>
      <w:r>
        <w:rPr>
          <w:rFonts w:ascii="Arial" w:cs="Arial" w:eastAsia="Arial" w:hAnsi="Arial"/>
          <w:sz w:val="16"/>
          <w:szCs w:val="16"/>
          <w:color w:val="auto"/>
        </w:rPr>
        <w:t>Thursday, March 31, 2022</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10:00 a.m. Pacific Time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60BAFF"/>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13716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214630"/>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Virtual Meeting - please pre-register at www.proxydocs.com/NRDS.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39173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Only stockholders of record as of the close of business on March 31, 2022, or holders of a valid proxy, are entitled to notice of and to vote at the Annual Meeting and any postponement, continuation, or adjournment thereof.</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Please Vote Today</w:t>
      </w:r>
    </w:p>
    <w:p>
      <w:pPr>
        <w:spacing w:after="0" w:line="225" w:lineRule="exact"/>
        <w:rPr>
          <w:sz w:val="20"/>
          <w:szCs w:val="20"/>
          <w:color w:val="auto"/>
        </w:rPr>
      </w:pPr>
    </w:p>
    <w:p>
      <w:pPr>
        <w:ind w:left="120"/>
        <w:spacing w:after="0" w:line="319" w:lineRule="auto"/>
        <w:rPr>
          <w:sz w:val="20"/>
          <w:szCs w:val="20"/>
          <w:color w:val="auto"/>
        </w:rPr>
      </w:pPr>
      <w:r>
        <w:rPr>
          <w:rFonts w:ascii="Arial" w:cs="Arial" w:eastAsia="Arial" w:hAnsi="Arial"/>
          <w:sz w:val="16"/>
          <w:szCs w:val="16"/>
          <w:color w:val="auto"/>
        </w:rPr>
        <w:t>Your vote is important. Whether or not you plan to attend the Annual Meeting, we urge you to vote promptly. Please carefully review the proxy materials and follow the instructions below to cast your vote on all of the proposals.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Voting Methods in Advance of 2022 Annual Meeting</w:t>
      </w:r>
    </w:p>
    <w:p>
      <w:pPr>
        <w:spacing w:after="0" w:line="225" w:lineRule="exact"/>
        <w:rPr>
          <w:sz w:val="20"/>
          <w:szCs w:val="20"/>
          <w:color w:val="auto"/>
        </w:rPr>
      </w:pPr>
    </w:p>
    <w:p>
      <w:pPr>
        <w:jc w:val="both"/>
        <w:ind w:left="120" w:right="80"/>
        <w:spacing w:after="0" w:line="319" w:lineRule="auto"/>
        <w:rPr>
          <w:sz w:val="20"/>
          <w:szCs w:val="20"/>
          <w:color w:val="auto"/>
        </w:rPr>
      </w:pPr>
      <w:r>
        <w:rPr>
          <w:rFonts w:ascii="Arial" w:cs="Arial" w:eastAsia="Arial" w:hAnsi="Arial"/>
          <w:sz w:val="16"/>
          <w:szCs w:val="16"/>
          <w:color w:val="auto"/>
        </w:rPr>
        <w:t>Even if you plan to attend the Annual Meeting, please vote in advance. Make sure to have your proxy card, voting instruction card or Notice of Internet Availability of Proxy Materials and follow the instructions.</w:t>
      </w:r>
    </w:p>
    <w:p>
      <w:pPr>
        <w:spacing w:after="0" w:line="171" w:lineRule="exact"/>
        <w:rPr>
          <w:sz w:val="20"/>
          <w:szCs w:val="20"/>
          <w:color w:val="auto"/>
        </w:rPr>
      </w:pPr>
    </w:p>
    <w:p>
      <w:pPr>
        <w:jc w:val="both"/>
        <w:ind w:left="120" w:right="320"/>
        <w:spacing w:after="0" w:line="319" w:lineRule="auto"/>
        <w:rPr>
          <w:sz w:val="20"/>
          <w:szCs w:val="20"/>
          <w:color w:val="auto"/>
        </w:rPr>
      </w:pPr>
      <w:r>
        <w:rPr>
          <w:rFonts w:ascii="Arial" w:cs="Arial" w:eastAsia="Arial" w:hAnsi="Arial"/>
          <w:sz w:val="16"/>
          <w:szCs w:val="16"/>
          <w:i w:val="1"/>
          <w:iCs w:val="1"/>
          <w:color w:val="auto"/>
        </w:rPr>
        <w:t xml:space="preserve">Shares Held of Record. </w:t>
      </w:r>
      <w:r>
        <w:rPr>
          <w:rFonts w:ascii="Arial" w:cs="Arial" w:eastAsia="Arial" w:hAnsi="Arial"/>
          <w:sz w:val="16"/>
          <w:szCs w:val="16"/>
          <w:color w:val="auto"/>
        </w:rPr>
        <w:t>If you hold your shares in your own name as a 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record with our transfer agent, Broadridge, you may authorize that your shares be voted at the Annual Meeting in one of the following ways: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auto"/>
              </w:rPr>
              <w:t>By Internet</w:t>
            </w:r>
          </w:p>
        </w:tc>
        <w:tc>
          <w:tcPr>
            <w:tcW w:w="4940" w:type="dxa"/>
            <w:vAlign w:val="bottom"/>
          </w:tcPr>
          <w:p>
            <w:pPr>
              <w:ind w:left="160"/>
              <w:spacing w:after="0"/>
              <w:rPr>
                <w:sz w:val="20"/>
                <w:szCs w:val="20"/>
                <w:color w:val="auto"/>
              </w:rPr>
            </w:pPr>
            <w:r>
              <w:rPr>
                <w:rFonts w:ascii="Arial" w:cs="Arial" w:eastAsia="Arial" w:hAnsi="Arial"/>
                <w:sz w:val="16"/>
                <w:szCs w:val="16"/>
                <w:color w:val="auto"/>
              </w:rPr>
              <w:t>If you received the Notice or a printed copy of the Proxy Materials,</w:t>
            </w:r>
          </w:p>
        </w:tc>
        <w:tc>
          <w:tcPr>
            <w:tcW w:w="0" w:type="dxa"/>
            <w:vAlign w:val="bottom"/>
          </w:tcPr>
          <w:p>
            <w:pPr>
              <w:spacing w:after="0"/>
              <w:rPr>
                <w:sz w:val="1"/>
                <w:szCs w:val="1"/>
                <w:color w:val="auto"/>
              </w:rPr>
            </w:pPr>
          </w:p>
        </w:tc>
      </w:tr>
      <w:tr>
        <w:trPr>
          <w:trHeight w:val="116"/>
        </w:trPr>
        <w:tc>
          <w:tcPr>
            <w:tcW w:w="1220" w:type="dxa"/>
            <w:vAlign w:val="bottom"/>
            <w:vMerge w:val="continue"/>
          </w:tcPr>
          <w:p>
            <w:pPr>
              <w:spacing w:after="0"/>
              <w:rPr>
                <w:sz w:val="10"/>
                <w:szCs w:val="10"/>
                <w:color w:val="auto"/>
              </w:rPr>
            </w:pPr>
          </w:p>
        </w:tc>
        <w:tc>
          <w:tcPr>
            <w:tcW w:w="4940" w:type="dxa"/>
            <w:vAlign w:val="bottom"/>
            <w:vMerge w:val="restart"/>
          </w:tcPr>
          <w:p>
            <w:pPr>
              <w:ind w:left="160"/>
              <w:spacing w:after="0"/>
              <w:rPr>
                <w:sz w:val="20"/>
                <w:szCs w:val="20"/>
                <w:color w:val="auto"/>
              </w:rPr>
            </w:pPr>
            <w:r>
              <w:rPr>
                <w:rFonts w:ascii="Arial" w:cs="Arial" w:eastAsia="Arial" w:hAnsi="Arial"/>
                <w:sz w:val="16"/>
                <w:szCs w:val="16"/>
                <w:color w:val="auto"/>
              </w:rPr>
              <w:t>follow the instructions in the Notice or on the proxy card.</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220" w:type="dxa"/>
            <w:vAlign w:val="bottom"/>
            <w:vMerge w:val="restart"/>
            <w:shd w:val="clear" w:color="auto" w:fill="EFF8FF"/>
          </w:tcPr>
          <w:p>
            <w:pPr>
              <w:spacing w:after="0"/>
              <w:rPr>
                <w:sz w:val="20"/>
                <w:szCs w:val="20"/>
                <w:color w:val="auto"/>
              </w:rPr>
            </w:pPr>
            <w:r>
              <w:rPr>
                <w:rFonts w:ascii="Arial" w:cs="Arial" w:eastAsia="Arial" w:hAnsi="Arial"/>
                <w:sz w:val="16"/>
                <w:szCs w:val="16"/>
                <w:b w:val="1"/>
                <w:bCs w:val="1"/>
                <w:color w:val="auto"/>
              </w:rPr>
              <w:t>By Telephone</w:t>
            </w:r>
          </w:p>
        </w:tc>
        <w:tc>
          <w:tcPr>
            <w:tcW w:w="4940" w:type="dxa"/>
            <w:vAlign w:val="bottom"/>
            <w:shd w:val="clear" w:color="auto" w:fill="EFF8FF"/>
          </w:tcPr>
          <w:p>
            <w:pPr>
              <w:ind w:left="160"/>
              <w:spacing w:after="0"/>
              <w:rPr>
                <w:sz w:val="20"/>
                <w:szCs w:val="20"/>
                <w:color w:val="auto"/>
              </w:rPr>
            </w:pPr>
            <w:r>
              <w:rPr>
                <w:rFonts w:ascii="Arial" w:cs="Arial" w:eastAsia="Arial" w:hAnsi="Arial"/>
                <w:sz w:val="16"/>
                <w:szCs w:val="16"/>
                <w:color w:val="auto"/>
              </w:rPr>
              <w:t>If you received a printed copy of the Proxy Materials, follow the</w:t>
            </w:r>
          </w:p>
        </w:tc>
        <w:tc>
          <w:tcPr>
            <w:tcW w:w="0" w:type="dxa"/>
            <w:vAlign w:val="bottom"/>
          </w:tcPr>
          <w:p>
            <w:pPr>
              <w:spacing w:after="0"/>
              <w:rPr>
                <w:sz w:val="1"/>
                <w:szCs w:val="1"/>
                <w:color w:val="auto"/>
              </w:rPr>
            </w:pPr>
          </w:p>
        </w:tc>
      </w:tr>
      <w:tr>
        <w:trPr>
          <w:trHeight w:val="115"/>
        </w:trPr>
        <w:tc>
          <w:tcPr>
            <w:tcW w:w="1220" w:type="dxa"/>
            <w:vAlign w:val="bottom"/>
            <w:vMerge w:val="continue"/>
            <w:shd w:val="clear" w:color="auto" w:fill="EFF8FF"/>
          </w:tcPr>
          <w:p>
            <w:pPr>
              <w:spacing w:after="0"/>
              <w:rPr>
                <w:sz w:val="10"/>
                <w:szCs w:val="10"/>
                <w:color w:val="auto"/>
              </w:rPr>
            </w:pPr>
          </w:p>
        </w:tc>
        <w:tc>
          <w:tcPr>
            <w:tcW w:w="4940" w:type="dxa"/>
            <w:vAlign w:val="bottom"/>
            <w:vMerge w:val="restart"/>
            <w:shd w:val="clear" w:color="auto" w:fill="EFF8FF"/>
          </w:tcPr>
          <w:p>
            <w:pPr>
              <w:ind w:left="160"/>
              <w:spacing w:after="0"/>
              <w:rPr>
                <w:sz w:val="20"/>
                <w:szCs w:val="20"/>
                <w:color w:val="auto"/>
              </w:rPr>
            </w:pPr>
            <w:r>
              <w:rPr>
                <w:rFonts w:ascii="Arial" w:cs="Arial" w:eastAsia="Arial" w:hAnsi="Arial"/>
                <w:sz w:val="16"/>
                <w:szCs w:val="16"/>
                <w:color w:val="auto"/>
              </w:rPr>
              <w:t>instructions on the proxy card.</w:t>
            </w:r>
          </w:p>
        </w:tc>
        <w:tc>
          <w:tcPr>
            <w:tcW w:w="0" w:type="dxa"/>
            <w:vAlign w:val="bottom"/>
          </w:tcPr>
          <w:p>
            <w:pPr>
              <w:spacing w:after="0"/>
              <w:rPr>
                <w:sz w:val="1"/>
                <w:szCs w:val="1"/>
                <w:color w:val="auto"/>
              </w:rPr>
            </w:pPr>
          </w:p>
        </w:tc>
      </w:tr>
      <w:tr>
        <w:trPr>
          <w:trHeight w:val="129"/>
        </w:trPr>
        <w:tc>
          <w:tcPr>
            <w:tcW w:w="1220" w:type="dxa"/>
            <w:vAlign w:val="bottom"/>
            <w:shd w:val="clear" w:color="auto" w:fill="EFF8FF"/>
          </w:tcPr>
          <w:p>
            <w:pPr>
              <w:spacing w:after="0"/>
              <w:rPr>
                <w:sz w:val="11"/>
                <w:szCs w:val="11"/>
                <w:color w:val="auto"/>
              </w:rPr>
            </w:pPr>
          </w:p>
        </w:tc>
        <w:tc>
          <w:tcPr>
            <w:tcW w:w="4940" w:type="dxa"/>
            <w:vAlign w:val="bottom"/>
            <w:vMerge w:val="continue"/>
            <w:shd w:val="clear" w:color="auto" w:fill="EFF8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-456565</wp:posOffset>
            </wp:positionV>
            <wp:extent cx="2871470" cy="51606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71470" cy="5160645"/>
                    </a:xfrm>
                    <a:prstGeom prst="rect">
                      <a:avLst/>
                    </a:prstGeom>
                    <a:noFill/>
                  </pic:spPr>
                </pic:pic>
              </a:graphicData>
            </a:graphic>
          </wp:anchor>
        </w:drawing>
      </w:r>
    </w:p>
    <w:p>
      <w:pPr>
        <w:spacing w:after="0" w:line="120" w:lineRule="exact"/>
        <w:rPr>
          <w:sz w:val="20"/>
          <w:szCs w:val="20"/>
          <w:color w:val="auto"/>
        </w:rPr>
      </w:pPr>
    </w:p>
    <w:p>
      <w:pPr>
        <w:jc w:val="both"/>
        <w:ind w:right="520"/>
        <w:spacing w:after="0" w:line="263" w:lineRule="auto"/>
        <w:rPr>
          <w:sz w:val="20"/>
          <w:szCs w:val="20"/>
          <w:color w:val="auto"/>
        </w:rPr>
      </w:pPr>
      <w:r>
        <w:rPr>
          <w:rFonts w:ascii="Arial" w:cs="Arial" w:eastAsia="Arial" w:hAnsi="Arial"/>
          <w:sz w:val="15"/>
          <w:szCs w:val="15"/>
          <w:color w:val="auto"/>
        </w:rPr>
        <w:t>If you received the Notice or a printed copy of the Proxy Materials, follow the instructions in the Notice or on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Telephone</w:t>
      </w:r>
    </w:p>
    <w:p>
      <w:pPr>
        <w:spacing w:after="0" w:line="140" w:lineRule="exact"/>
        <w:rPr>
          <w:sz w:val="20"/>
          <w:szCs w:val="20"/>
          <w:color w:val="auto"/>
        </w:rPr>
      </w:pPr>
    </w:p>
    <w:p>
      <w:pPr>
        <w:jc w:val="both"/>
        <w:ind w:right="720"/>
        <w:spacing w:after="0" w:line="283" w:lineRule="auto"/>
        <w:rPr>
          <w:sz w:val="20"/>
          <w:szCs w:val="20"/>
          <w:color w:val="auto"/>
        </w:rPr>
      </w:pPr>
      <w:r>
        <w:rPr>
          <w:rFonts w:ascii="Arial" w:cs="Arial" w:eastAsia="Arial" w:hAnsi="Arial"/>
          <w:sz w:val="15"/>
          <w:szCs w:val="15"/>
          <w:color w:val="auto"/>
        </w:rPr>
        <w:t>If you received a printed copy of the Proxy Materials, follow the instructions on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Mail</w:t>
      </w:r>
    </w:p>
    <w:p>
      <w:pPr>
        <w:spacing w:after="0" w:line="140" w:lineRule="exact"/>
        <w:rPr>
          <w:sz w:val="20"/>
          <w:szCs w:val="20"/>
          <w:color w:val="auto"/>
        </w:rPr>
      </w:pPr>
    </w:p>
    <w:p>
      <w:pPr>
        <w:jc w:val="both"/>
        <w:ind w:right="720"/>
        <w:spacing w:after="0" w:line="263" w:lineRule="auto"/>
        <w:rPr>
          <w:sz w:val="20"/>
          <w:szCs w:val="20"/>
          <w:color w:val="auto"/>
        </w:rPr>
      </w:pPr>
      <w:r>
        <w:rPr>
          <w:rFonts w:ascii="Arial" w:cs="Arial" w:eastAsia="Arial" w:hAnsi="Arial"/>
          <w:sz w:val="15"/>
          <w:szCs w:val="15"/>
          <w:color w:val="auto"/>
        </w:rPr>
        <w:t>If you received a printed copy of the Proxy Materials, complete, sign, date, and mail your proxy card in the enclosed, postage-prepaid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Person (Virtual)</w:t>
      </w:r>
    </w:p>
    <w:p>
      <w:pPr>
        <w:spacing w:after="0" w:line="140" w:lineRule="exact"/>
        <w:rPr>
          <w:sz w:val="20"/>
          <w:szCs w:val="20"/>
          <w:color w:val="auto"/>
        </w:rPr>
      </w:pPr>
    </w:p>
    <w:p>
      <w:pPr>
        <w:ind w:right="480"/>
        <w:spacing w:after="0" w:line="249" w:lineRule="auto"/>
        <w:rPr>
          <w:sz w:val="20"/>
          <w:szCs w:val="20"/>
          <w:color w:val="auto"/>
        </w:rPr>
      </w:pPr>
      <w:r>
        <w:rPr>
          <w:rFonts w:ascii="Arial" w:cs="Arial" w:eastAsia="Arial" w:hAnsi="Arial"/>
          <w:sz w:val="15"/>
          <w:szCs w:val="15"/>
          <w:color w:val="auto"/>
        </w:rPr>
        <w:t>You may also vote in person by attending our Annual Meeting virtually through www.proxydocs.com/NRDS. To attend the Annual Meeting and vote your shares, you must pre-register at www.proxydocs.com/NRDS. Upon completing your registration, you will receive further instructions via email, including a unique link that will allow you access to the Annual Meeting and to vote and submit questions during the Annual Meeting.</w:t>
      </w:r>
    </w:p>
    <w:p>
      <w:pPr>
        <w:spacing w:after="0" w:line="555" w:lineRule="exact"/>
        <w:rPr>
          <w:sz w:val="20"/>
          <w:szCs w:val="20"/>
          <w:color w:val="auto"/>
        </w:rPr>
      </w:pPr>
    </w:p>
    <w:p>
      <w:pPr>
        <w:sectPr>
          <w:pgSz w:w="11900" w:h="16838" w:orient="portrait"/>
          <w:cols w:equalWidth="0" w:num="2">
            <w:col w:w="6280" w:space="560"/>
            <w:col w:w="4280"/>
          </w:cols>
          <w:pgMar w:left="320" w:top="455" w:right="45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Mail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 Person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(Virtual)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you received a printed copy of the Proxy Materials, complete,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sign, date, and mail your proxy card in the enclosed, postage-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prepaid envelope.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You may also vote in person virtually by attending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-115570</wp:posOffset>
            </wp:positionV>
            <wp:extent cx="3909060"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09060" cy="72898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through www.proxydocs.com/NRDS. To attend the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vote your shares, you must pre-register for the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Meeting and provide the control number located on your Notice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123825</wp:posOffset>
            </wp:positionV>
            <wp:extent cx="6995160"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640"/>
            <w:col w:w="9620"/>
          </w:cols>
          <w:pgMar w:left="320" w:top="455" w:right="459" w:bottom="1440" w:gutter="0" w:footer="0" w:header="0"/>
          <w:type w:val="continuous"/>
        </w:sectPr>
      </w:pPr>
    </w:p>
    <w:p>
      <w:pPr>
        <w:spacing w:after="0" w:line="224" w:lineRule="exact"/>
        <w:rPr>
          <w:sz w:val="20"/>
          <w:szCs w:val="20"/>
          <w:color w:val="auto"/>
        </w:rPr>
      </w:pPr>
    </w:p>
    <w:p>
      <w:pPr>
        <w:ind w:left="10820"/>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120"/>
          </w:cols>
          <w:pgMar w:left="320" w:top="455" w:right="45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383" w:lineRule="exact"/>
        <w:rPr>
          <w:sz w:val="20"/>
          <w:szCs w:val="20"/>
          <w:color w:val="auto"/>
        </w:rPr>
      </w:pPr>
    </w:p>
    <w:p>
      <w:pPr>
        <w:ind w:left="120"/>
        <w:spacing w:after="0" w:line="309" w:lineRule="auto"/>
        <w:rPr>
          <w:sz w:val="20"/>
          <w:szCs w:val="20"/>
          <w:color w:val="auto"/>
        </w:rPr>
      </w:pPr>
      <w:r>
        <w:rPr>
          <w:rFonts w:ascii="Arial" w:cs="Arial" w:eastAsia="Arial" w:hAnsi="Arial"/>
          <w:sz w:val="16"/>
          <w:szCs w:val="16"/>
          <w:i w:val="1"/>
          <w:iCs w:val="1"/>
          <w:color w:val="auto"/>
        </w:rPr>
        <w:t xml:space="preserve">Shares Held in Street Name. </w:t>
      </w:r>
      <w:r>
        <w:rPr>
          <w:rFonts w:ascii="Arial" w:cs="Arial" w:eastAsia="Arial" w:hAnsi="Arial"/>
          <w:sz w:val="16"/>
          <w:szCs w:val="16"/>
          <w:color w:val="auto"/>
        </w:rPr>
        <w:t>If you hold your shares through a broker, bank or other nominee (that is, in street name), you will receive instructions from</w:t>
      </w:r>
      <w:r>
        <w:rPr>
          <w:rFonts w:ascii="Arial" w:cs="Arial" w:eastAsia="Arial" w:hAnsi="Arial"/>
          <w:sz w:val="16"/>
          <w:szCs w:val="16"/>
          <w:i w:val="1"/>
          <w:iCs w:val="1"/>
          <w:color w:val="auto"/>
        </w:rPr>
        <w:t xml:space="preserve"> </w:t>
      </w:r>
      <w:r>
        <w:rPr>
          <w:rFonts w:ascii="Arial" w:cs="Arial" w:eastAsia="Arial" w:hAnsi="Arial"/>
          <w:sz w:val="16"/>
          <w:szCs w:val="16"/>
          <w:color w:val="auto"/>
        </w:rPr>
        <w:t>your broker, bank or nominee that you must follow in order to submit your voting instructions and have your shares voted at the Annual Meeting. If you want to vote in person virtually at the Annual Meeting, you must register in advance at www.proxydocs.com/NRDS. You may be instructed to obtain a legal proxy from your broker, bank or other nominee and to submit a copy in advance of the meeting. Further instructions will be provided to you as part of your registration process.</w:t>
      </w:r>
    </w:p>
    <w:p>
      <w:pPr>
        <w:spacing w:after="0" w:line="179" w:lineRule="exact"/>
        <w:rPr>
          <w:sz w:val="20"/>
          <w:szCs w:val="20"/>
          <w:color w:val="auto"/>
        </w:rPr>
      </w:pPr>
    </w:p>
    <w:p>
      <w:pPr>
        <w:jc w:val="both"/>
        <w:ind w:left="120" w:right="420"/>
        <w:spacing w:after="0" w:line="349" w:lineRule="auto"/>
        <w:rPr>
          <w:sz w:val="20"/>
          <w:szCs w:val="20"/>
          <w:color w:val="auto"/>
        </w:rPr>
      </w:pPr>
      <w:r>
        <w:rPr>
          <w:rFonts w:ascii="Arial" w:cs="Arial" w:eastAsia="Arial" w:hAnsi="Arial"/>
          <w:sz w:val="16"/>
          <w:szCs w:val="16"/>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Proposals, Board Recommendations and Required Vote</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PROPOSAL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Election of Director Nominees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Board Recommendation</w:t>
      </w:r>
      <w:r>
        <w:rPr>
          <w:rFonts w:ascii="Arial" w:cs="Arial" w:eastAsia="Arial" w:hAnsi="Arial"/>
          <w:sz w:val="16"/>
          <w:szCs w:val="16"/>
          <w:color w:val="auto"/>
        </w:rPr>
        <w:t>: FOR each nominee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Required Vote</w:t>
      </w:r>
      <w:r>
        <w:rPr>
          <w:rFonts w:ascii="Arial" w:cs="Arial" w:eastAsia="Arial" w:hAnsi="Arial"/>
          <w:sz w:val="16"/>
          <w:szCs w:val="16"/>
          <w:color w:val="auto"/>
        </w:rPr>
        <w:t>: Plurality of the votes cast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PROPOSAL 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Amendment to the NerdWallet, Inc. 2021 Equity Incentive Plan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Board Recommendation</w:t>
      </w:r>
      <w:r>
        <w:rPr>
          <w:rFonts w:ascii="Arial" w:cs="Arial" w:eastAsia="Arial" w:hAnsi="Arial"/>
          <w:sz w:val="16"/>
          <w:szCs w:val="16"/>
          <w:color w:val="auto"/>
        </w:rPr>
        <w:t>: FOR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Required Vote</w:t>
      </w:r>
      <w:r>
        <w:rPr>
          <w:rFonts w:ascii="Arial" w:cs="Arial" w:eastAsia="Arial" w:hAnsi="Arial"/>
          <w:sz w:val="16"/>
          <w:szCs w:val="16"/>
          <w:color w:val="auto"/>
        </w:rPr>
        <w:t>: Majority of the voting power of shares of stock present and entitled to vote</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PROPOSAL 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Ratification of Appointment of Deloitte &amp; Touche LLP as Our Independent Registered Public Accounting Firm for 2022</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Board Recommendation</w:t>
      </w:r>
      <w:r>
        <w:rPr>
          <w:rFonts w:ascii="Arial" w:cs="Arial" w:eastAsia="Arial" w:hAnsi="Arial"/>
          <w:sz w:val="16"/>
          <w:szCs w:val="16"/>
          <w:color w:val="auto"/>
        </w:rPr>
        <w:t>: FOR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Required Vote</w:t>
      </w:r>
      <w:r>
        <w:rPr>
          <w:rFonts w:ascii="Arial" w:cs="Arial" w:eastAsia="Arial" w:hAnsi="Arial"/>
          <w:sz w:val="16"/>
          <w:szCs w:val="16"/>
          <w:color w:val="auto"/>
        </w:rPr>
        <w:t>: Majority of the voting power of shares of stock present and entitled to vote</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Questions and Answers About The 2022 Annual Meeting</w:t>
      </w:r>
    </w:p>
    <w:p>
      <w:pPr>
        <w:spacing w:after="0" w:line="225" w:lineRule="exact"/>
        <w:rPr>
          <w:sz w:val="20"/>
          <w:szCs w:val="20"/>
          <w:color w:val="auto"/>
        </w:rPr>
      </w:pPr>
    </w:p>
    <w:p>
      <w:pPr>
        <w:ind w:left="120" w:right="280"/>
        <w:spacing w:after="0" w:line="319" w:lineRule="auto"/>
        <w:rPr>
          <w:sz w:val="20"/>
          <w:szCs w:val="20"/>
          <w:color w:val="auto"/>
        </w:rPr>
      </w:pPr>
      <w:r>
        <w:rPr>
          <w:rFonts w:ascii="Arial" w:cs="Arial" w:eastAsia="Arial" w:hAnsi="Arial"/>
          <w:sz w:val="16"/>
          <w:szCs w:val="16"/>
          <w:color w:val="auto"/>
        </w:rPr>
        <w:t>Please see “Questions and Answers About The Proxy Materials and 2022 Annual Meeting” for important information about the Annual Meeting, virtual meeting format, proxy materials, voting, Company documents, communications, deadlines to submit stockholder proposals and other pertinent information.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About NerdWallet</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Business Overview</w:t>
      </w:r>
    </w:p>
    <w:p>
      <w:pPr>
        <w:spacing w:after="0" w:line="225" w:lineRule="exact"/>
        <w:rPr>
          <w:sz w:val="20"/>
          <w:szCs w:val="20"/>
          <w:color w:val="auto"/>
        </w:rPr>
      </w:pPr>
    </w:p>
    <w:p>
      <w:pPr>
        <w:ind w:left="120" w:right="260"/>
        <w:spacing w:after="0" w:line="307" w:lineRule="auto"/>
        <w:rPr>
          <w:sz w:val="20"/>
          <w:szCs w:val="20"/>
          <w:color w:val="auto"/>
        </w:rPr>
      </w:pPr>
      <w:r>
        <w:rPr>
          <w:rFonts w:ascii="Arial" w:cs="Arial" w:eastAsia="Arial" w:hAnsi="Arial"/>
          <w:sz w:val="16"/>
          <w:szCs w:val="16"/>
          <w:color w:val="auto"/>
        </w:rPr>
        <w:t>At NerdWallet, we empower consumers—both individual consumers and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our value proposition as a trusted, independent platform for consumers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hanging="741"/>
        <w:spacing w:after="0"/>
        <w:tabs>
          <w:tab w:leader="none" w:pos="10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666666"/>
        </w:rPr>
        <w:t>PROXY SUMMARY</w:t>
      </w:r>
    </w:p>
    <w:p>
      <w:pPr>
        <w:spacing w:after="0" w:line="167" w:lineRule="exact"/>
        <w:rPr>
          <w:sz w:val="20"/>
          <w:szCs w:val="20"/>
          <w:color w:val="auto"/>
        </w:rPr>
      </w:pPr>
    </w:p>
    <w:p>
      <w:pPr>
        <w:ind w:left="120" w:right="20"/>
        <w:spacing w:after="0" w:line="312" w:lineRule="auto"/>
        <w:rPr>
          <w:sz w:val="20"/>
          <w:szCs w:val="20"/>
          <w:color w:val="auto"/>
        </w:rPr>
      </w:pPr>
      <w:r>
        <w:rPr>
          <w:rFonts w:ascii="Arial" w:cs="Arial" w:eastAsia="Arial" w:hAnsi="Arial"/>
          <w:sz w:val="16"/>
          <w:szCs w:val="16"/>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and Canadian markets with plans for further international expansion. Across every touchpoint, the cornerstone of our platform is our consumers’ trust in the independent, objective and relevant guidance we provide, free of charge.</w:t>
      </w:r>
    </w:p>
    <w:p>
      <w:pPr>
        <w:spacing w:after="0" w:line="177" w:lineRule="exact"/>
        <w:rPr>
          <w:sz w:val="20"/>
          <w:szCs w:val="20"/>
          <w:color w:val="auto"/>
        </w:rPr>
      </w:pPr>
    </w:p>
    <w:p>
      <w:pPr>
        <w:ind w:left="120" w:right="200"/>
        <w:spacing w:after="0" w:line="309" w:lineRule="auto"/>
        <w:rPr>
          <w:sz w:val="20"/>
          <w:szCs w:val="20"/>
          <w:color w:val="auto"/>
        </w:rPr>
      </w:pPr>
      <w:r>
        <w:rPr>
          <w:rFonts w:ascii="Arial" w:cs="Arial" w:eastAsia="Arial" w:hAnsi="Arial"/>
          <w:sz w:val="16"/>
          <w:szCs w:val="16"/>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 consumers who might not otherwise trust these financial services providers’ recommendations because their guidance is inherently biased toward their own products.</w:t>
      </w:r>
    </w:p>
    <w:p>
      <w:pPr>
        <w:spacing w:after="0" w:line="179" w:lineRule="exact"/>
        <w:rPr>
          <w:sz w:val="20"/>
          <w:szCs w:val="20"/>
          <w:color w:val="auto"/>
        </w:rPr>
      </w:pPr>
    </w:p>
    <w:p>
      <w:pPr>
        <w:ind w:left="120" w:right="40"/>
        <w:spacing w:after="0" w:line="304" w:lineRule="auto"/>
        <w:rPr>
          <w:sz w:val="20"/>
          <w:szCs w:val="20"/>
          <w:color w:val="auto"/>
        </w:rPr>
      </w:pPr>
      <w:r>
        <w:rPr>
          <w:rFonts w:ascii="Arial" w:cs="Arial" w:eastAsia="Arial" w:hAnsi="Arial"/>
          <w:sz w:val="16"/>
          <w:szCs w:val="16"/>
          <w:color w:val="auto"/>
        </w:rPr>
        <w:t>By operating at the intersection of consumers and financial services providers, NerdWallet drives value for both. Through our platform, our financial services partners can reach a substantial audience—we had 19 million Monthly Unique Users (MUUs) per month on average in 2021. After doing research on our platform, these consumers are better informed about the financial decision they’re about to make and often primed and ready to transact. When consumers are more informed about their financial decisions,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84" w:lineRule="exact"/>
        <w:rPr>
          <w:sz w:val="20"/>
          <w:szCs w:val="20"/>
          <w:color w:val="auto"/>
        </w:rPr>
      </w:pPr>
    </w:p>
    <w:p>
      <w:pPr>
        <w:jc w:val="both"/>
        <w:ind w:left="120" w:right="60"/>
        <w:spacing w:after="0" w:line="309" w:lineRule="auto"/>
        <w:rPr>
          <w:sz w:val="20"/>
          <w:szCs w:val="20"/>
          <w:color w:val="auto"/>
        </w:rPr>
      </w:pPr>
      <w:r>
        <w:rPr>
          <w:rFonts w:ascii="Arial" w:cs="Arial" w:eastAsia="Arial" w:hAnsi="Arial"/>
          <w:sz w:val="16"/>
          <w:szCs w:val="16"/>
          <w:color w:val="auto"/>
        </w:rPr>
        <w:t>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 Our consumer-first values and consumer-centric mission permeate everything we do and have been key to building and maintaining trust—it’s the “consumer, company, team, self” value that guides our decision making and product development. Across the company, Nerds engage every day with our values and mission to democratize trusted, accessible guidance and tools, leveling the playing field for everyone.</w:t>
      </w:r>
    </w:p>
    <w:p>
      <w:pPr>
        <w:spacing w:after="0" w:line="179" w:lineRule="exact"/>
        <w:rPr>
          <w:sz w:val="20"/>
          <w:szCs w:val="20"/>
          <w:color w:val="auto"/>
        </w:rPr>
      </w:pPr>
    </w:p>
    <w:p>
      <w:pPr>
        <w:jc w:val="both"/>
        <w:ind w:left="120" w:right="80"/>
        <w:spacing w:after="0" w:line="319" w:lineRule="auto"/>
        <w:rPr>
          <w:sz w:val="20"/>
          <w:szCs w:val="20"/>
          <w:color w:val="auto"/>
        </w:rPr>
      </w:pPr>
      <w:r>
        <w:rPr>
          <w:rFonts w:ascii="Arial" w:cs="Arial" w:eastAsia="Arial" w:hAnsi="Arial"/>
          <w:sz w:val="16"/>
          <w:szCs w:val="16"/>
          <w:color w:val="auto"/>
        </w:rPr>
        <w:t>These values will benefit us over the long-term as we build on our leadership as the place consumers turn to first for financial guidance. We have already achieved massive, top-of-funnel reach. By adhering to our consumer-first value, we will not only empower consumers to make better financial decisions, but also help our financial services partners more effectively find new customers well-suited to their products.</w:t>
      </w:r>
    </w:p>
    <w:p>
      <w:pPr>
        <w:spacing w:after="0" w:line="171" w:lineRule="exact"/>
        <w:rPr>
          <w:sz w:val="20"/>
          <w:szCs w:val="20"/>
          <w:color w:val="auto"/>
        </w:rPr>
      </w:pPr>
    </w:p>
    <w:p>
      <w:pPr>
        <w:ind w:left="120" w:right="20"/>
        <w:spacing w:after="0" w:line="304" w:lineRule="auto"/>
        <w:rPr>
          <w:sz w:val="20"/>
          <w:szCs w:val="20"/>
          <w:color w:val="auto"/>
        </w:rPr>
      </w:pPr>
      <w:r>
        <w:rPr>
          <w:rFonts w:ascii="Arial" w:cs="Arial" w:eastAsia="Arial" w:hAnsi="Arial"/>
          <w:sz w:val="16"/>
          <w:szCs w:val="16"/>
          <w:color w:val="auto"/>
        </w:rPr>
        <w:t>We have developed a consumer-first platform that empowers consumers and SMBs to make well-informed financial decisions at the right time and with confidence. The cornerstone of our platform is consumer trust in the independent, objective, and relevant guidance we provide, free of charge. Given it is incredibly difficult for any one person to be deeply knowledgeable across all areas of personal finance, we have a 100+ person editorial team that functions as the “brains” behind our guidance. Our writers and editors, who have joined us from notable publications, cover specific verticals day in and day out, and, as a result, are deeply knowledgeable about the financial areas they cover, producing high-quality and award-winning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702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0820"/>
        <w:spacing w:after="0"/>
        <w:rPr>
          <w:sz w:val="20"/>
          <w:szCs w:val="20"/>
          <w:color w:val="auto"/>
        </w:rPr>
      </w:pPr>
      <w:r>
        <w:rPr>
          <w:rFonts w:ascii="Arial" w:cs="Arial" w:eastAsia="Arial" w:hAnsi="Arial"/>
          <w:sz w:val="16"/>
          <w:szCs w:val="16"/>
          <w:b w:val="1"/>
          <w:bCs w:val="1"/>
          <w:color w:val="auto"/>
        </w:rPr>
        <w:t>3</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167" w:lineRule="exact"/>
        <w:rPr>
          <w:sz w:val="20"/>
          <w:szCs w:val="20"/>
          <w:color w:val="auto"/>
        </w:rPr>
      </w:pPr>
    </w:p>
    <w:p>
      <w:pPr>
        <w:ind w:left="120" w:right="260"/>
        <w:spacing w:after="0" w:line="319" w:lineRule="auto"/>
        <w:rPr>
          <w:sz w:val="20"/>
          <w:szCs w:val="20"/>
          <w:color w:val="auto"/>
        </w:rPr>
      </w:pPr>
      <w:r>
        <w:rPr>
          <w:rFonts w:ascii="Arial" w:cs="Arial" w:eastAsia="Arial" w:hAnsi="Arial"/>
          <w:sz w:val="16"/>
          <w:szCs w:val="16"/>
          <w:color w:val="auto"/>
        </w:rPr>
        <w:t>This trusted guidance has enabled us to build a large, well-informed audience, many of whom are ready to transact. Accordingly, we have become an attractive partner for financial services providers wanting to reach these high-value consumers. Today, our platform stretches across many financial products, including credit cards, mortgages, insurance, SMB products, personal loans, banking, investing and student loans.</w:t>
      </w:r>
    </w:p>
    <w:p>
      <w:pPr>
        <w:spacing w:after="0" w:line="171"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760720" cy="2503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Human Capital Management</w:t>
      </w:r>
    </w:p>
    <w:p>
      <w:pPr>
        <w:spacing w:after="0" w:line="225" w:lineRule="exact"/>
        <w:rPr>
          <w:sz w:val="20"/>
          <w:szCs w:val="20"/>
          <w:color w:val="auto"/>
        </w:rPr>
      </w:pPr>
    </w:p>
    <w:p>
      <w:pPr>
        <w:ind w:left="120" w:right="100"/>
        <w:spacing w:after="0" w:line="312" w:lineRule="auto"/>
        <w:rPr>
          <w:sz w:val="20"/>
          <w:szCs w:val="20"/>
          <w:color w:val="auto"/>
        </w:rPr>
      </w:pPr>
      <w:r>
        <w:rPr>
          <w:rFonts w:ascii="Arial" w:cs="Arial" w:eastAsia="Arial" w:hAnsi="Arial"/>
          <w:sz w:val="16"/>
          <w:szCs w:val="16"/>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2021, we had over 675 full-time employees, of which approximately 93% are located throughout the United States and 7% are located internationally.</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Response to COVID-19 and Employee Safety</w:t>
      </w:r>
    </w:p>
    <w:p>
      <w:pPr>
        <w:spacing w:after="0" w:line="225" w:lineRule="exact"/>
        <w:rPr>
          <w:sz w:val="20"/>
          <w:szCs w:val="20"/>
          <w:color w:val="auto"/>
        </w:rPr>
      </w:pPr>
    </w:p>
    <w:p>
      <w:pPr>
        <w:ind w:left="120"/>
        <w:spacing w:after="0" w:line="312" w:lineRule="auto"/>
        <w:rPr>
          <w:sz w:val="20"/>
          <w:szCs w:val="20"/>
          <w:color w:val="auto"/>
        </w:rPr>
      </w:pPr>
      <w:r>
        <w:rPr>
          <w:rFonts w:ascii="Arial" w:cs="Arial" w:eastAsia="Arial" w:hAnsi="Arial"/>
          <w:sz w:val="16"/>
          <w:szCs w:val="16"/>
          <w:color w:val="auto"/>
        </w:rPr>
        <w:t>At the outset of the COVID-19 pandemic in the first quarter of 2020, we closed our San Francisco office and transitioned all of our employees to a remote work environment in order to mitigate the spread of COVID-19 and comply with local shelter-in-place policies. Subsequently, in December 2020, we adopted a remote-first policy that allows for almost all roles to be remote on an ongoing basis. Many of our employees transitioned or were hired into permanent remote status and are not required to report to an office for work.</w:t>
      </w:r>
    </w:p>
    <w:p>
      <w:pPr>
        <w:spacing w:after="0" w:line="177" w:lineRule="exact"/>
        <w:rPr>
          <w:sz w:val="20"/>
          <w:szCs w:val="20"/>
          <w:color w:val="auto"/>
        </w:rPr>
      </w:pPr>
    </w:p>
    <w:p>
      <w:pPr>
        <w:ind w:left="120" w:right="140"/>
        <w:spacing w:after="0" w:line="319" w:lineRule="auto"/>
        <w:rPr>
          <w:sz w:val="20"/>
          <w:szCs w:val="20"/>
          <w:color w:val="auto"/>
        </w:rPr>
      </w:pPr>
      <w:r>
        <w:rPr>
          <w:rFonts w:ascii="Arial" w:cs="Arial" w:eastAsia="Arial" w:hAnsi="Arial"/>
          <w:sz w:val="16"/>
          <w:szCs w:val="16"/>
          <w:color w:val="auto"/>
        </w:rPr>
        <w:t>While we maintain offices in San Francisco, CA, Scottsdale, AZ, New York, NY and Norwich, UK, we continue to monitor COVID-19 pandemic developments and local conditions, adjusting our office use policies accordingly. Understanding that our employees may need additional support during the COVID-19 pandemic, we introduced new benefits: offering access to on-demand mental health support through a third-party service provider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hanging="741"/>
        <w:spacing w:after="0"/>
        <w:tabs>
          <w:tab w:leader="none" w:pos="10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060"/>
          </w:cols>
          <w:pgMar w:left="320" w:top="455" w:right="51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666666"/>
        </w:rPr>
        <w:t>PROXY SUMMARY</w:t>
      </w:r>
    </w:p>
    <w:p>
      <w:pPr>
        <w:spacing w:after="0" w:line="167" w:lineRule="exact"/>
        <w:rPr>
          <w:sz w:val="20"/>
          <w:szCs w:val="20"/>
          <w:color w:val="auto"/>
        </w:rPr>
      </w:pPr>
    </w:p>
    <w:p>
      <w:pPr>
        <w:ind w:left="120" w:right="320"/>
        <w:spacing w:after="0" w:line="339" w:lineRule="auto"/>
        <w:rPr>
          <w:sz w:val="20"/>
          <w:szCs w:val="20"/>
          <w:color w:val="auto"/>
        </w:rPr>
      </w:pPr>
      <w:r>
        <w:rPr>
          <w:rFonts w:ascii="Arial" w:cs="Arial" w:eastAsia="Arial" w:hAnsi="Arial"/>
          <w:sz w:val="16"/>
          <w:szCs w:val="16"/>
          <w:color w:val="auto"/>
        </w:rPr>
        <w:t>adding mental health days to our company calendar. In addition, we encouraged employees to take advantage of existing flexible time off policies and work with their teams to arrange for a flexible work schedule.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Our Employees and Our Culture</w:t>
      </w:r>
    </w:p>
    <w:p>
      <w:pPr>
        <w:spacing w:after="0" w:line="225" w:lineRule="exact"/>
        <w:rPr>
          <w:sz w:val="20"/>
          <w:szCs w:val="20"/>
          <w:color w:val="auto"/>
        </w:rPr>
      </w:pPr>
    </w:p>
    <w:p>
      <w:pPr>
        <w:ind w:left="120" w:right="140"/>
        <w:spacing w:after="0" w:line="307" w:lineRule="auto"/>
        <w:rPr>
          <w:sz w:val="20"/>
          <w:szCs w:val="20"/>
          <w:color w:val="auto"/>
        </w:rPr>
      </w:pPr>
      <w:r>
        <w:rPr>
          <w:rFonts w:ascii="Arial" w:cs="Arial" w:eastAsia="Arial" w:hAnsi="Arial"/>
          <w:sz w:val="16"/>
          <w:szCs w:val="16"/>
          <w:color w:val="auto"/>
        </w:rPr>
        <w:t>Our Nerds are the key to our success and the reason we believe we will achieve our mission. They are also one of our most crucial areas of investment. Our remote-first culture allows us to reach, attract and retain more diverse talent across all levels of our organization. Attracting and retaining highly-skilled, diverse talent is a key component of our burgeoning diversity, equity and inclusion efforts, and is absolutely critical to our success as a business and to fully realizing NerdWallet’s mission. Once employees are at NerdWallet, we invest in their well-being and development: We offer competitive compensation and benefits, as well as opportunities for career growth. For more information on how we invest in our Nerds, please see the section titled “Investing in Our Nerds” in the ESG discussion in this proxy statement.</w:t>
      </w:r>
    </w:p>
    <w:p>
      <w:pPr>
        <w:spacing w:after="0" w:line="181" w:lineRule="exact"/>
        <w:rPr>
          <w:sz w:val="20"/>
          <w:szCs w:val="20"/>
          <w:color w:val="auto"/>
        </w:rPr>
      </w:pPr>
    </w:p>
    <w:p>
      <w:pPr>
        <w:ind w:left="120" w:right="80"/>
        <w:spacing w:after="0" w:line="309" w:lineRule="auto"/>
        <w:rPr>
          <w:sz w:val="20"/>
          <w:szCs w:val="20"/>
          <w:color w:val="auto"/>
        </w:rPr>
      </w:pPr>
      <w:r>
        <w:rPr>
          <w:rFonts w:ascii="Arial" w:cs="Arial" w:eastAsia="Arial" w:hAnsi="Arial"/>
          <w:sz w:val="16"/>
          <w:szCs w:val="16"/>
          <w:color w:val="auto"/>
        </w:rPr>
        <w:t xml:space="preserve">At the core of our Nerdy culture are our values. They’re not just words written on a wall or printed on t-shirts, but lived and breathed every day by every Nerd: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 style meetings with leadership. We’re consistently recognized as a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“Best Place to Work” due to our competitive employee benefits, commitment to employee growth and empowerment, and our flexible workplace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702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820"/>
        <w:spacing w:after="0"/>
        <w:rPr>
          <w:sz w:val="20"/>
          <w:szCs w:val="20"/>
          <w:color w:val="auto"/>
        </w:rPr>
      </w:pPr>
      <w:r>
        <w:rPr>
          <w:rFonts w:ascii="Arial" w:cs="Arial" w:eastAsia="Arial" w:hAnsi="Arial"/>
          <w:sz w:val="16"/>
          <w:szCs w:val="16"/>
          <w:b w:val="1"/>
          <w:bCs w:val="1"/>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Nominees</w:t>
      </w:r>
    </w:p>
    <w:p>
      <w:pPr>
        <w:spacing w:after="0" w:line="141" w:lineRule="exact"/>
        <w:rPr>
          <w:sz w:val="20"/>
          <w:szCs w:val="20"/>
          <w:color w:val="auto"/>
        </w:rPr>
      </w:pPr>
    </w:p>
    <w:p>
      <w:pPr>
        <w:ind w:left="120" w:right="280"/>
        <w:spacing w:after="0" w:line="339" w:lineRule="auto"/>
        <w:rPr>
          <w:sz w:val="20"/>
          <w:szCs w:val="20"/>
          <w:color w:val="auto"/>
        </w:rPr>
      </w:pPr>
      <w:r>
        <w:rPr>
          <w:rFonts w:ascii="Arial" w:cs="Arial" w:eastAsia="Arial" w:hAnsi="Arial"/>
          <w:sz w:val="16"/>
          <w:szCs w:val="16"/>
          <w:color w:val="auto"/>
        </w:rPr>
        <w:t>Our Board has unanimously nominated and recommends a vote “FOR” each of the following nominees for election as directors to serve for a one-year term and until a successor has been duly elected and qualified, or until such director’s earlier resignation, retirement or other termination of service.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0BAFF"/>
        </w:rPr>
        <w:t xml:space="preserve">TIM CHEN </w:t>
      </w:r>
      <w:r>
        <w:rPr>
          <w:rFonts w:ascii="Arial" w:cs="Arial" w:eastAsia="Arial" w:hAnsi="Arial"/>
          <w:sz w:val="16"/>
          <w:szCs w:val="16"/>
          <w:color w:val="60BAFF"/>
        </w:rPr>
        <w:t>•</w:t>
      </w:r>
      <w:r>
        <w:rPr>
          <w:rFonts w:ascii="Arial" w:cs="Arial" w:eastAsia="Arial" w:hAnsi="Arial"/>
          <w:sz w:val="16"/>
          <w:szCs w:val="16"/>
          <w:b w:val="1"/>
          <w:bCs w:val="1"/>
          <w:color w:val="60BAFF"/>
        </w:rPr>
        <w:t xml:space="preserve"> </w:t>
      </w:r>
      <w:r>
        <w:rPr>
          <w:rFonts w:ascii="Arial" w:cs="Arial" w:eastAsia="Arial" w:hAnsi="Arial"/>
          <w:sz w:val="16"/>
          <w:szCs w:val="16"/>
          <w:b w:val="1"/>
          <w:bCs w:val="1"/>
          <w:i w:val="1"/>
          <w:iCs w:val="1"/>
          <w:color w:val="60BAFF"/>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39</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Board Committee(s): Ex-officio Attendee; Does Not Vote</w:t>
            </w:r>
          </w:p>
        </w:tc>
      </w:tr>
      <w:tr>
        <w:trPr>
          <w:trHeight w:val="23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Primary Occupation: </w:t>
            </w:r>
            <w:r>
              <w:rPr>
                <w:rFonts w:ascii="Arial" w:cs="Arial" w:eastAsia="Arial" w:hAnsi="Arial"/>
                <w:sz w:val="16"/>
                <w:szCs w:val="16"/>
                <w:color w:val="auto"/>
              </w:rPr>
              <w:t>Chief Executive Officer of the Company</w:t>
            </w:r>
          </w:p>
        </w:tc>
      </w:tr>
      <w:tr>
        <w:trPr>
          <w:trHeight w:val="22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None</w:t>
            </w:r>
          </w:p>
        </w:tc>
      </w:tr>
      <w:tr>
        <w:trPr>
          <w:trHeight w:val="459"/>
        </w:trPr>
        <w:tc>
          <w:tcPr>
            <w:tcW w:w="3100" w:type="dxa"/>
            <w:vAlign w:val="bottom"/>
          </w:tcPr>
          <w:p>
            <w:pPr>
              <w:spacing w:after="0"/>
              <w:rPr>
                <w:sz w:val="20"/>
                <w:szCs w:val="20"/>
                <w:color w:val="auto"/>
              </w:rPr>
            </w:pPr>
            <w:r>
              <w:rPr>
                <w:rFonts w:ascii="Arial" w:cs="Arial" w:eastAsia="Arial" w:hAnsi="Arial"/>
                <w:sz w:val="16"/>
                <w:szCs w:val="16"/>
                <w:b w:val="1"/>
                <w:bCs w:val="1"/>
                <w:color w:val="60BAFF"/>
              </w:rPr>
              <w:t>JENNIFER E. CERAN</w:t>
            </w:r>
          </w:p>
        </w:tc>
        <w:tc>
          <w:tcPr>
            <w:tcW w:w="7920" w:type="dxa"/>
            <w:vAlign w:val="bottom"/>
          </w:tcPr>
          <w:p>
            <w:pPr>
              <w:spacing w:after="0"/>
              <w:rPr>
                <w:sz w:val="24"/>
                <w:szCs w:val="24"/>
                <w:color w:val="auto"/>
              </w:rPr>
            </w:pPr>
          </w:p>
        </w:tc>
      </w:tr>
      <w:tr>
        <w:trPr>
          <w:trHeight w:val="34"/>
        </w:trPr>
        <w:tc>
          <w:tcPr>
            <w:tcW w:w="3100" w:type="dxa"/>
            <w:vAlign w:val="bottom"/>
            <w:tcBorders>
              <w:bottom w:val="single" w:sz="8" w:color="B2B2B2"/>
            </w:tcBorders>
          </w:tcPr>
          <w:p>
            <w:pPr>
              <w:spacing w:after="0"/>
              <w:rPr>
                <w:sz w:val="3"/>
                <w:szCs w:val="3"/>
                <w:color w:val="auto"/>
              </w:rPr>
            </w:pPr>
          </w:p>
        </w:tc>
        <w:tc>
          <w:tcPr>
            <w:tcW w:w="7920" w:type="dxa"/>
            <w:vAlign w:val="bottom"/>
            <w:tcBorders>
              <w:bottom w:val="single" w:sz="8" w:color="B2B2B2"/>
            </w:tcBorders>
          </w:tcPr>
          <w:p>
            <w:pPr>
              <w:spacing w:after="0"/>
              <w:rPr>
                <w:sz w:val="3"/>
                <w:szCs w:val="3"/>
                <w:color w:val="auto"/>
              </w:rPr>
            </w:pPr>
          </w:p>
        </w:tc>
      </w:tr>
      <w:tr>
        <w:trPr>
          <w:trHeight w:val="27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w:t>
            </w:r>
          </w:p>
        </w:tc>
      </w:tr>
      <w:tr>
        <w:trPr>
          <w:trHeight w:val="22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Primary Occupation: </w:t>
            </w:r>
            <w:r>
              <w:rPr>
                <w:rFonts w:ascii="Arial" w:cs="Arial" w:eastAsia="Arial" w:hAnsi="Arial"/>
                <w:sz w:val="16"/>
                <w:szCs w:val="16"/>
                <w:color w:val="auto"/>
              </w:rPr>
              <w:t>Interim Chief Financial Officer of Klaviyo, Inc.</w:t>
            </w:r>
          </w:p>
        </w:tc>
      </w:tr>
      <w:tr>
        <w:trPr>
          <w:trHeight w:val="22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Plum Acquisition Corp. I and Riskified Ltd.</w:t>
            </w:r>
          </w:p>
        </w:tc>
      </w:tr>
      <w:tr>
        <w:trPr>
          <w:trHeight w:val="459"/>
        </w:trPr>
        <w:tc>
          <w:tcPr>
            <w:tcW w:w="3100" w:type="dxa"/>
            <w:vAlign w:val="bottom"/>
          </w:tcPr>
          <w:p>
            <w:pPr>
              <w:spacing w:after="0"/>
              <w:rPr>
                <w:sz w:val="20"/>
                <w:szCs w:val="20"/>
                <w:color w:val="auto"/>
              </w:rPr>
            </w:pPr>
            <w:r>
              <w:rPr>
                <w:rFonts w:ascii="Arial" w:cs="Arial" w:eastAsia="Arial" w:hAnsi="Arial"/>
                <w:sz w:val="16"/>
                <w:szCs w:val="16"/>
                <w:b w:val="1"/>
                <w:bCs w:val="1"/>
                <w:color w:val="60BAFF"/>
              </w:rPr>
              <w:t>LYNNE M. LAUBE</w:t>
            </w:r>
          </w:p>
        </w:tc>
        <w:tc>
          <w:tcPr>
            <w:tcW w:w="7920" w:type="dxa"/>
            <w:vAlign w:val="bottom"/>
          </w:tcPr>
          <w:p>
            <w:pPr>
              <w:spacing w:after="0"/>
              <w:rPr>
                <w:sz w:val="24"/>
                <w:szCs w:val="24"/>
                <w:color w:val="auto"/>
              </w:rPr>
            </w:pPr>
          </w:p>
        </w:tc>
      </w:tr>
      <w:tr>
        <w:trPr>
          <w:trHeight w:val="34"/>
        </w:trPr>
        <w:tc>
          <w:tcPr>
            <w:tcW w:w="3100" w:type="dxa"/>
            <w:vAlign w:val="bottom"/>
            <w:tcBorders>
              <w:bottom w:val="single" w:sz="8" w:color="B2B2B2"/>
            </w:tcBorders>
          </w:tcPr>
          <w:p>
            <w:pPr>
              <w:spacing w:after="0"/>
              <w:rPr>
                <w:sz w:val="3"/>
                <w:szCs w:val="3"/>
                <w:color w:val="auto"/>
              </w:rPr>
            </w:pPr>
          </w:p>
        </w:tc>
        <w:tc>
          <w:tcPr>
            <w:tcW w:w="7920" w:type="dxa"/>
            <w:vAlign w:val="bottom"/>
            <w:tcBorders>
              <w:bottom w:val="single" w:sz="8" w:color="B2B2B2"/>
            </w:tcBorders>
          </w:tcPr>
          <w:p>
            <w:pPr>
              <w:spacing w:after="0"/>
              <w:rPr>
                <w:sz w:val="3"/>
                <w:szCs w:val="3"/>
                <w:color w:val="auto"/>
              </w:rPr>
            </w:pPr>
          </w:p>
        </w:tc>
      </w:tr>
      <w:tr>
        <w:trPr>
          <w:trHeight w:val="27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 Compensation</w:t>
            </w:r>
          </w:p>
        </w:tc>
      </w:tr>
      <w:tr>
        <w:trPr>
          <w:trHeight w:val="22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Primary Occupation: </w:t>
            </w:r>
            <w:r>
              <w:rPr>
                <w:rFonts w:ascii="Arial" w:cs="Arial" w:eastAsia="Arial" w:hAnsi="Arial"/>
                <w:sz w:val="16"/>
                <w:szCs w:val="16"/>
                <w:color w:val="auto"/>
              </w:rPr>
              <w:t>Chief Executive Officer of Cardlytics, Inc.</w:t>
            </w:r>
          </w:p>
        </w:tc>
      </w:tr>
      <w:tr>
        <w:trPr>
          <w:trHeight w:val="23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Cardlytics, Inc.</w:t>
            </w:r>
          </w:p>
        </w:tc>
      </w:tr>
      <w:tr>
        <w:trPr>
          <w:trHeight w:val="459"/>
        </w:trPr>
        <w:tc>
          <w:tcPr>
            <w:tcW w:w="3100" w:type="dxa"/>
            <w:vAlign w:val="bottom"/>
          </w:tcPr>
          <w:p>
            <w:pPr>
              <w:spacing w:after="0"/>
              <w:rPr>
                <w:sz w:val="20"/>
                <w:szCs w:val="20"/>
                <w:color w:val="auto"/>
              </w:rPr>
            </w:pPr>
            <w:r>
              <w:rPr>
                <w:rFonts w:ascii="Arial" w:cs="Arial" w:eastAsia="Arial" w:hAnsi="Arial"/>
                <w:sz w:val="16"/>
                <w:szCs w:val="16"/>
                <w:b w:val="1"/>
                <w:bCs w:val="1"/>
                <w:color w:val="60BAFF"/>
              </w:rPr>
              <w:t>THOMAS LOVERRO</w:t>
            </w:r>
          </w:p>
        </w:tc>
        <w:tc>
          <w:tcPr>
            <w:tcW w:w="7920" w:type="dxa"/>
            <w:vAlign w:val="bottom"/>
          </w:tcPr>
          <w:p>
            <w:pPr>
              <w:spacing w:after="0"/>
              <w:rPr>
                <w:sz w:val="24"/>
                <w:szCs w:val="24"/>
                <w:color w:val="auto"/>
              </w:rPr>
            </w:pPr>
          </w:p>
        </w:tc>
      </w:tr>
      <w:tr>
        <w:trPr>
          <w:trHeight w:val="35"/>
        </w:trPr>
        <w:tc>
          <w:tcPr>
            <w:tcW w:w="3100" w:type="dxa"/>
            <w:vAlign w:val="bottom"/>
            <w:tcBorders>
              <w:bottom w:val="single" w:sz="8" w:color="B2B2B2"/>
            </w:tcBorders>
          </w:tcPr>
          <w:p>
            <w:pPr>
              <w:spacing w:after="0"/>
              <w:rPr>
                <w:sz w:val="3"/>
                <w:szCs w:val="3"/>
                <w:color w:val="auto"/>
              </w:rPr>
            </w:pPr>
          </w:p>
        </w:tc>
        <w:tc>
          <w:tcPr>
            <w:tcW w:w="7920" w:type="dxa"/>
            <w:vAlign w:val="bottom"/>
            <w:tcBorders>
              <w:bottom w:val="single" w:sz="8" w:color="B2B2B2"/>
            </w:tcBorders>
          </w:tcPr>
          <w:p>
            <w:pPr>
              <w:spacing w:after="0"/>
              <w:rPr>
                <w:sz w:val="3"/>
                <w:szCs w:val="3"/>
                <w:color w:val="auto"/>
              </w:rPr>
            </w:pPr>
          </w:p>
        </w:tc>
      </w:tr>
      <w:tr>
        <w:trPr>
          <w:trHeight w:val="26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40</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Compensation</w:t>
            </w:r>
          </w:p>
        </w:tc>
      </w:tr>
      <w:tr>
        <w:trPr>
          <w:trHeight w:val="23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Primary Occupation: </w:t>
            </w:r>
            <w:r>
              <w:rPr>
                <w:rFonts w:ascii="Arial" w:cs="Arial" w:eastAsia="Arial" w:hAnsi="Arial"/>
                <w:sz w:val="16"/>
                <w:szCs w:val="16"/>
                <w:color w:val="auto"/>
              </w:rPr>
              <w:t>General Partner and Managing Director at Institutional</w:t>
            </w:r>
          </w:p>
        </w:tc>
      </w:tr>
      <w:tr>
        <w:trPr>
          <w:trHeight w:val="23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920" w:type="dxa"/>
            <w:vAlign w:val="bottom"/>
          </w:tcPr>
          <w:p>
            <w:pPr>
              <w:ind w:left="2020"/>
              <w:spacing w:after="0"/>
              <w:rPr>
                <w:sz w:val="20"/>
                <w:szCs w:val="20"/>
                <w:color w:val="auto"/>
              </w:rPr>
            </w:pPr>
            <w:r>
              <w:rPr>
                <w:rFonts w:ascii="Arial" w:cs="Arial" w:eastAsia="Arial" w:hAnsi="Arial"/>
                <w:sz w:val="16"/>
                <w:szCs w:val="16"/>
                <w:color w:val="auto"/>
              </w:rPr>
              <w:t>Venture Partners</w:t>
            </w:r>
          </w:p>
        </w:tc>
      </w:tr>
      <w:tr>
        <w:trPr>
          <w:trHeight w:val="230"/>
        </w:trPr>
        <w:tc>
          <w:tcPr>
            <w:tcW w:w="3100" w:type="dxa"/>
            <w:vAlign w:val="bottom"/>
          </w:tcPr>
          <w:p>
            <w:pPr>
              <w:spacing w:after="0"/>
              <w:rPr>
                <w:sz w:val="19"/>
                <w:szCs w:val="19"/>
                <w:color w:val="auto"/>
              </w:rPr>
            </w:pP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None</w:t>
            </w:r>
          </w:p>
        </w:tc>
      </w:tr>
      <w:tr>
        <w:trPr>
          <w:trHeight w:val="459"/>
        </w:trPr>
        <w:tc>
          <w:tcPr>
            <w:tcW w:w="3100" w:type="dxa"/>
            <w:vAlign w:val="bottom"/>
          </w:tcPr>
          <w:p>
            <w:pPr>
              <w:spacing w:after="0"/>
              <w:rPr>
                <w:sz w:val="20"/>
                <w:szCs w:val="20"/>
                <w:color w:val="auto"/>
              </w:rPr>
            </w:pPr>
            <w:r>
              <w:rPr>
                <w:rFonts w:ascii="Arial" w:cs="Arial" w:eastAsia="Arial" w:hAnsi="Arial"/>
                <w:sz w:val="16"/>
                <w:szCs w:val="16"/>
                <w:b w:val="1"/>
                <w:bCs w:val="1"/>
                <w:color w:val="60BAFF"/>
              </w:rPr>
              <w:t>KENNETH T. MCBRIDE</w:t>
            </w:r>
          </w:p>
        </w:tc>
        <w:tc>
          <w:tcPr>
            <w:tcW w:w="7920" w:type="dxa"/>
            <w:vAlign w:val="bottom"/>
          </w:tcPr>
          <w:p>
            <w:pPr>
              <w:spacing w:after="0"/>
              <w:rPr>
                <w:sz w:val="24"/>
                <w:szCs w:val="24"/>
                <w:color w:val="auto"/>
              </w:rPr>
            </w:pPr>
          </w:p>
        </w:tc>
      </w:tr>
      <w:tr>
        <w:trPr>
          <w:trHeight w:val="35"/>
        </w:trPr>
        <w:tc>
          <w:tcPr>
            <w:tcW w:w="3100" w:type="dxa"/>
            <w:vAlign w:val="bottom"/>
            <w:tcBorders>
              <w:bottom w:val="single" w:sz="8" w:color="B2B2B2"/>
            </w:tcBorders>
          </w:tcPr>
          <w:p>
            <w:pPr>
              <w:spacing w:after="0"/>
              <w:rPr>
                <w:sz w:val="3"/>
                <w:szCs w:val="3"/>
                <w:color w:val="auto"/>
              </w:rPr>
            </w:pPr>
          </w:p>
        </w:tc>
        <w:tc>
          <w:tcPr>
            <w:tcW w:w="7920" w:type="dxa"/>
            <w:vAlign w:val="bottom"/>
            <w:tcBorders>
              <w:bottom w:val="single" w:sz="8" w:color="B2B2B2"/>
            </w:tcBorders>
          </w:tcPr>
          <w:p>
            <w:pPr>
              <w:spacing w:after="0"/>
              <w:rPr>
                <w:sz w:val="3"/>
                <w:szCs w:val="3"/>
                <w:color w:val="auto"/>
              </w:rPr>
            </w:pPr>
          </w:p>
        </w:tc>
      </w:tr>
      <w:tr>
        <w:trPr>
          <w:trHeight w:val="27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Board Committee(s): </w:t>
            </w:r>
            <w:r>
              <w:rPr>
                <w:rFonts w:ascii="Arial" w:cs="Arial" w:eastAsia="Arial" w:hAnsi="Arial"/>
                <w:sz w:val="16"/>
                <w:szCs w:val="16"/>
                <w:color w:val="auto"/>
              </w:rPr>
              <w:t>Audit</w:t>
            </w:r>
          </w:p>
        </w:tc>
      </w:tr>
      <w:tr>
        <w:trPr>
          <w:trHeight w:val="229"/>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Primary Occupation: </w:t>
            </w:r>
            <w:r>
              <w:rPr>
                <w:rFonts w:ascii="Arial" w:cs="Arial" w:eastAsia="Arial" w:hAnsi="Arial"/>
                <w:sz w:val="16"/>
                <w:szCs w:val="16"/>
                <w:color w:val="auto"/>
              </w:rPr>
              <w:t>Board Member of Auctane, previously known as</w:t>
            </w:r>
          </w:p>
        </w:tc>
      </w:tr>
      <w:tr>
        <w:trPr>
          <w:trHeight w:val="230"/>
        </w:trPr>
        <w:tc>
          <w:tcPr>
            <w:tcW w:w="3100" w:type="dxa"/>
            <w:vAlign w:val="bottom"/>
          </w:tcPr>
          <w:p>
            <w:pPr>
              <w:ind w:left="1220"/>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920" w:type="dxa"/>
            <w:vAlign w:val="bottom"/>
          </w:tcPr>
          <w:p>
            <w:pPr>
              <w:ind w:left="2020"/>
              <w:spacing w:after="0"/>
              <w:rPr>
                <w:sz w:val="20"/>
                <w:szCs w:val="20"/>
                <w:color w:val="auto"/>
              </w:rPr>
            </w:pPr>
            <w:r>
              <w:rPr>
                <w:rFonts w:ascii="Arial" w:cs="Arial" w:eastAsia="Arial" w:hAnsi="Arial"/>
                <w:sz w:val="16"/>
                <w:szCs w:val="16"/>
                <w:color w:val="auto"/>
              </w:rPr>
              <w:t>Stamps.com Inc.</w:t>
            </w:r>
          </w:p>
        </w:tc>
      </w:tr>
      <w:tr>
        <w:trPr>
          <w:trHeight w:val="230"/>
        </w:trPr>
        <w:tc>
          <w:tcPr>
            <w:tcW w:w="3100" w:type="dxa"/>
            <w:vAlign w:val="bottom"/>
          </w:tcPr>
          <w:p>
            <w:pPr>
              <w:spacing w:after="0"/>
              <w:rPr>
                <w:sz w:val="19"/>
                <w:szCs w:val="19"/>
                <w:color w:val="auto"/>
              </w:rPr>
            </w:pPr>
          </w:p>
        </w:tc>
        <w:tc>
          <w:tcPr>
            <w:tcW w:w="7920" w:type="dxa"/>
            <w:vAlign w:val="bottom"/>
          </w:tcPr>
          <w:p>
            <w:pPr>
              <w:ind w:left="320"/>
              <w:spacing w:after="0"/>
              <w:rPr>
                <w:sz w:val="20"/>
                <w:szCs w:val="20"/>
                <w:color w:val="auto"/>
              </w:rPr>
            </w:pPr>
            <w:r>
              <w:rPr>
                <w:rFonts w:ascii="Arial" w:cs="Arial" w:eastAsia="Arial" w:hAnsi="Arial"/>
                <w:sz w:val="16"/>
                <w:szCs w:val="16"/>
                <w:b w:val="1"/>
                <w:bCs w:val="1"/>
                <w:color w:val="auto"/>
              </w:rPr>
              <w:t xml:space="preserve">Other Public Company Boards: </w:t>
            </w:r>
            <w:r>
              <w:rPr>
                <w:rFonts w:ascii="Arial" w:cs="Arial" w:eastAsia="Arial" w:hAnsi="Arial"/>
                <w:sz w:val="16"/>
                <w:szCs w:val="16"/>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-3877945</wp:posOffset>
            </wp:positionV>
            <wp:extent cx="514350"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-3089275</wp:posOffset>
            </wp:positionV>
            <wp:extent cx="514350" cy="386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-2300605</wp:posOffset>
            </wp:positionV>
            <wp:extent cx="51435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-1511935</wp:posOffset>
            </wp:positionV>
            <wp:extent cx="514350" cy="386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-577850</wp:posOffset>
            </wp:positionV>
            <wp:extent cx="51435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702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80" w:hanging="741"/>
        <w:spacing w:after="0"/>
        <w:tabs>
          <w:tab w:leader="none" w:pos="108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PROXY SUMMARY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 HIGHLY DIVERSE AND SKILLED BOARD</w:t>
      </w:r>
    </w:p>
    <w:p>
      <w:pPr>
        <w:spacing w:after="0" w:line="249" w:lineRule="exact"/>
        <w:rPr>
          <w:sz w:val="20"/>
          <w:szCs w:val="20"/>
          <w:color w:val="auto"/>
        </w:rPr>
      </w:pPr>
    </w:p>
    <w:p>
      <w:pPr>
        <w:ind w:left="120" w:right="120"/>
        <w:spacing w:after="0" w:line="339" w:lineRule="auto"/>
        <w:rPr>
          <w:sz w:val="20"/>
          <w:szCs w:val="20"/>
          <w:color w:val="auto"/>
        </w:rPr>
      </w:pPr>
      <w:r>
        <w:rPr>
          <w:rFonts w:ascii="Arial" w:cs="Arial" w:eastAsia="Arial" w:hAnsi="Arial"/>
          <w:sz w:val="16"/>
          <w:szCs w:val="16"/>
          <w:color w:val="auto"/>
        </w:rPr>
        <w:t>We believe that our diverse Board has an appropriate mix of skills, expertise and experience to oversee critical matters of the Company and to represent the interests of our stockholders.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160655</wp:posOffset>
            </wp:positionV>
            <wp:extent cx="5537835" cy="3317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783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Diversity Matrix (as of April 14, 2022)</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7060" w:type="dxa"/>
            <w:vAlign w:val="bottom"/>
            <w:tcBorders>
              <w:top w:val="single" w:sz="8" w:color="60BAFF"/>
              <w:right w:val="single" w:sz="8" w:color="B2B2B2"/>
            </w:tcBorders>
          </w:tcPr>
          <w:p>
            <w:pPr>
              <w:ind w:left="60"/>
              <w:spacing w:after="0"/>
              <w:rPr>
                <w:sz w:val="20"/>
                <w:szCs w:val="20"/>
                <w:color w:val="auto"/>
              </w:rPr>
            </w:pPr>
            <w:r>
              <w:rPr>
                <w:rFonts w:ascii="Arial" w:cs="Arial" w:eastAsia="Arial" w:hAnsi="Arial"/>
                <w:sz w:val="16"/>
                <w:szCs w:val="16"/>
                <w:b w:val="1"/>
                <w:bCs w:val="1"/>
                <w:color w:val="60BAFF"/>
              </w:rPr>
              <w:t>Total Number of Directors:</w:t>
            </w:r>
          </w:p>
        </w:tc>
        <w:tc>
          <w:tcPr>
            <w:tcW w:w="520" w:type="dxa"/>
            <w:vAlign w:val="bottom"/>
            <w:tcBorders>
              <w:top w:val="single" w:sz="8" w:color="60BAFF"/>
            </w:tcBorders>
          </w:tcPr>
          <w:p>
            <w:pPr>
              <w:spacing w:after="0"/>
              <w:rPr>
                <w:sz w:val="24"/>
                <w:szCs w:val="24"/>
                <w:color w:val="auto"/>
              </w:rPr>
            </w:pPr>
          </w:p>
        </w:tc>
        <w:tc>
          <w:tcPr>
            <w:tcW w:w="800" w:type="dxa"/>
            <w:vAlign w:val="bottom"/>
            <w:tcBorders>
              <w:top w:val="single" w:sz="8" w:color="60BAFF"/>
            </w:tcBorders>
          </w:tcPr>
          <w:p>
            <w:pPr>
              <w:spacing w:after="0"/>
              <w:rPr>
                <w:sz w:val="24"/>
                <w:szCs w:val="24"/>
                <w:color w:val="auto"/>
              </w:rPr>
            </w:pPr>
          </w:p>
        </w:tc>
        <w:tc>
          <w:tcPr>
            <w:tcW w:w="1180" w:type="dxa"/>
            <w:vAlign w:val="bottom"/>
            <w:tcBorders>
              <w:top w:val="single" w:sz="8" w:color="60BAFF"/>
            </w:tcBorders>
          </w:tcPr>
          <w:p>
            <w:pPr>
              <w:jc w:val="right"/>
              <w:ind w:right="359"/>
              <w:spacing w:after="0"/>
              <w:rPr>
                <w:sz w:val="20"/>
                <w:szCs w:val="20"/>
                <w:color w:val="auto"/>
              </w:rPr>
            </w:pPr>
            <w:r>
              <w:rPr>
                <w:rFonts w:ascii="Arial" w:cs="Arial" w:eastAsia="Arial" w:hAnsi="Arial"/>
                <w:sz w:val="16"/>
                <w:szCs w:val="16"/>
                <w:b w:val="1"/>
                <w:bCs w:val="1"/>
                <w:color w:val="60BAFF"/>
              </w:rPr>
              <w:t>5</w:t>
            </w:r>
          </w:p>
        </w:tc>
        <w:tc>
          <w:tcPr>
            <w:tcW w:w="1460" w:type="dxa"/>
            <w:vAlign w:val="bottom"/>
            <w:tcBorders>
              <w:top w:val="single" w:sz="8" w:color="60BAFF"/>
            </w:tcBorders>
          </w:tcPr>
          <w:p>
            <w:pPr>
              <w:spacing w:after="0"/>
              <w:rPr>
                <w:sz w:val="24"/>
                <w:szCs w:val="24"/>
                <w:color w:val="auto"/>
              </w:rPr>
            </w:pPr>
          </w:p>
        </w:tc>
      </w:tr>
      <w:tr>
        <w:trPr>
          <w:trHeight w:val="48"/>
        </w:trPr>
        <w:tc>
          <w:tcPr>
            <w:tcW w:w="7060" w:type="dxa"/>
            <w:vAlign w:val="bottom"/>
            <w:tcBorders>
              <w:bottom w:val="single" w:sz="8" w:color="60BAFF"/>
              <w:right w:val="single" w:sz="8" w:color="B2B2B2"/>
            </w:tcBorders>
          </w:tcPr>
          <w:p>
            <w:pPr>
              <w:spacing w:after="0"/>
              <w:rPr>
                <w:sz w:val="4"/>
                <w:szCs w:val="4"/>
                <w:color w:val="auto"/>
              </w:rPr>
            </w:pPr>
          </w:p>
        </w:tc>
        <w:tc>
          <w:tcPr>
            <w:tcW w:w="520" w:type="dxa"/>
            <w:vAlign w:val="bottom"/>
            <w:tcBorders>
              <w:bottom w:val="single" w:sz="8" w:color="60BAFF"/>
            </w:tcBorders>
          </w:tcPr>
          <w:p>
            <w:pPr>
              <w:spacing w:after="0"/>
              <w:rPr>
                <w:sz w:val="4"/>
                <w:szCs w:val="4"/>
                <w:color w:val="auto"/>
              </w:rPr>
            </w:pPr>
          </w:p>
        </w:tc>
        <w:tc>
          <w:tcPr>
            <w:tcW w:w="800" w:type="dxa"/>
            <w:vAlign w:val="bottom"/>
            <w:tcBorders>
              <w:bottom w:val="single" w:sz="8" w:color="60BAFF"/>
            </w:tcBorders>
          </w:tcPr>
          <w:p>
            <w:pPr>
              <w:spacing w:after="0"/>
              <w:rPr>
                <w:sz w:val="4"/>
                <w:szCs w:val="4"/>
                <w:color w:val="auto"/>
              </w:rPr>
            </w:pPr>
          </w:p>
        </w:tc>
        <w:tc>
          <w:tcPr>
            <w:tcW w:w="1180" w:type="dxa"/>
            <w:vAlign w:val="bottom"/>
            <w:tcBorders>
              <w:bottom w:val="single" w:sz="8" w:color="60BAFF"/>
            </w:tcBorders>
          </w:tcPr>
          <w:p>
            <w:pPr>
              <w:spacing w:after="0"/>
              <w:rPr>
                <w:sz w:val="4"/>
                <w:szCs w:val="4"/>
                <w:color w:val="auto"/>
              </w:rPr>
            </w:pPr>
          </w:p>
        </w:tc>
        <w:tc>
          <w:tcPr>
            <w:tcW w:w="1460" w:type="dxa"/>
            <w:vAlign w:val="bottom"/>
            <w:tcBorders>
              <w:bottom w:val="single" w:sz="8" w:color="60BAFF"/>
            </w:tcBorders>
          </w:tcPr>
          <w:p>
            <w:pPr>
              <w:spacing w:after="0"/>
              <w:rPr>
                <w:sz w:val="4"/>
                <w:szCs w:val="4"/>
                <w:color w:val="auto"/>
              </w:rPr>
            </w:pPr>
          </w:p>
        </w:tc>
      </w:tr>
      <w:tr>
        <w:trPr>
          <w:trHeight w:val="183"/>
        </w:trPr>
        <w:tc>
          <w:tcPr>
            <w:tcW w:w="7060" w:type="dxa"/>
            <w:vAlign w:val="bottom"/>
            <w:tcBorders>
              <w:bottom w:val="single" w:sz="8" w:color="60BAFF"/>
              <w:right w:val="single" w:sz="8" w:color="B2B2B2"/>
            </w:tcBorders>
          </w:tcPr>
          <w:p>
            <w:pPr>
              <w:ind w:left="60"/>
              <w:spacing w:after="0" w:line="183" w:lineRule="exact"/>
              <w:rPr>
                <w:sz w:val="20"/>
                <w:szCs w:val="20"/>
                <w:color w:val="auto"/>
              </w:rPr>
            </w:pPr>
            <w:r>
              <w:rPr>
                <w:rFonts w:ascii="Arial" w:cs="Arial" w:eastAsia="Arial" w:hAnsi="Arial"/>
                <w:sz w:val="16"/>
                <w:szCs w:val="16"/>
                <w:b w:val="1"/>
                <w:bCs w:val="1"/>
                <w:color w:val="auto"/>
              </w:rPr>
              <w:t>Part I: Gender Identity</w:t>
            </w:r>
          </w:p>
        </w:tc>
        <w:tc>
          <w:tcPr>
            <w:tcW w:w="520" w:type="dxa"/>
            <w:vAlign w:val="bottom"/>
            <w:tcBorders>
              <w:bottom w:val="single" w:sz="8" w:color="60BAFF"/>
              <w:right w:val="single" w:sz="8" w:color="B2B2B2"/>
            </w:tcBorders>
          </w:tcPr>
          <w:p>
            <w:pPr>
              <w:ind w:left="100"/>
              <w:spacing w:after="0" w:line="183" w:lineRule="exact"/>
              <w:rPr>
                <w:sz w:val="20"/>
                <w:szCs w:val="20"/>
                <w:color w:val="auto"/>
              </w:rPr>
            </w:pPr>
            <w:r>
              <w:rPr>
                <w:rFonts w:ascii="Arial" w:cs="Arial" w:eastAsia="Arial" w:hAnsi="Arial"/>
                <w:sz w:val="16"/>
                <w:szCs w:val="16"/>
                <w:b w:val="1"/>
                <w:bCs w:val="1"/>
                <w:color w:val="auto"/>
              </w:rPr>
              <w:t>Male</w:t>
            </w:r>
          </w:p>
        </w:tc>
        <w:tc>
          <w:tcPr>
            <w:tcW w:w="800" w:type="dxa"/>
            <w:vAlign w:val="bottom"/>
            <w:tcBorders>
              <w:bottom w:val="single" w:sz="8" w:color="60BAFF"/>
              <w:right w:val="single" w:sz="8" w:color="B2B2B2"/>
            </w:tcBorders>
          </w:tcPr>
          <w:p>
            <w:pPr>
              <w:ind w:left="140"/>
              <w:spacing w:after="0" w:line="183" w:lineRule="exact"/>
              <w:rPr>
                <w:sz w:val="20"/>
                <w:szCs w:val="20"/>
                <w:color w:val="auto"/>
              </w:rPr>
            </w:pPr>
            <w:r>
              <w:rPr>
                <w:rFonts w:ascii="Arial" w:cs="Arial" w:eastAsia="Arial" w:hAnsi="Arial"/>
                <w:sz w:val="16"/>
                <w:szCs w:val="16"/>
                <w:b w:val="1"/>
                <w:bCs w:val="1"/>
                <w:color w:val="auto"/>
              </w:rPr>
              <w:t>Female</w:t>
            </w:r>
          </w:p>
        </w:tc>
        <w:tc>
          <w:tcPr>
            <w:tcW w:w="1180" w:type="dxa"/>
            <w:vAlign w:val="bottom"/>
            <w:tcBorders>
              <w:bottom w:val="single" w:sz="8" w:color="60BAFF"/>
              <w:right w:val="single" w:sz="8" w:color="B2B2B2"/>
            </w:tcBorders>
          </w:tcPr>
          <w:p>
            <w:pPr>
              <w:jc w:val="center"/>
              <w:spacing w:after="0" w:line="183" w:lineRule="exact"/>
              <w:rPr>
                <w:sz w:val="20"/>
                <w:szCs w:val="20"/>
                <w:color w:val="auto"/>
              </w:rPr>
            </w:pPr>
            <w:r>
              <w:rPr>
                <w:rFonts w:ascii="Arial" w:cs="Arial" w:eastAsia="Arial" w:hAnsi="Arial"/>
                <w:sz w:val="16"/>
                <w:szCs w:val="16"/>
                <w:b w:val="1"/>
                <w:bCs w:val="1"/>
                <w:color w:val="auto"/>
                <w:w w:val="99"/>
              </w:rPr>
              <w:t>Non-Binary</w:t>
            </w:r>
          </w:p>
        </w:tc>
        <w:tc>
          <w:tcPr>
            <w:tcW w:w="1460" w:type="dxa"/>
            <w:vAlign w:val="bottom"/>
            <w:tcBorders>
              <w:bottom w:val="single" w:sz="8" w:color="60BAFF"/>
            </w:tcBorders>
          </w:tcPr>
          <w:p>
            <w:pPr>
              <w:jc w:val="center"/>
              <w:spacing w:after="0" w:line="183" w:lineRule="exact"/>
              <w:rPr>
                <w:sz w:val="20"/>
                <w:szCs w:val="20"/>
                <w:color w:val="auto"/>
              </w:rPr>
            </w:pPr>
            <w:r>
              <w:rPr>
                <w:rFonts w:ascii="Arial" w:cs="Arial" w:eastAsia="Arial" w:hAnsi="Arial"/>
                <w:sz w:val="16"/>
                <w:szCs w:val="16"/>
                <w:b w:val="1"/>
                <w:bCs w:val="1"/>
                <w:color w:val="auto"/>
              </w:rPr>
              <w:t>Not Disclosed</w:t>
            </w:r>
          </w:p>
        </w:tc>
      </w:tr>
      <w:tr>
        <w:trPr>
          <w:trHeight w:val="183"/>
        </w:trPr>
        <w:tc>
          <w:tcPr>
            <w:tcW w:w="7060" w:type="dxa"/>
            <w:vAlign w:val="bottom"/>
            <w:tcBorders>
              <w:bottom w:val="single" w:sz="8" w:color="60BAFF"/>
              <w:right w:val="single" w:sz="8" w:color="B2B2B2"/>
            </w:tcBorders>
          </w:tcPr>
          <w:p>
            <w:pPr>
              <w:ind w:left="280"/>
              <w:spacing w:after="0" w:line="183" w:lineRule="exact"/>
              <w:rPr>
                <w:sz w:val="20"/>
                <w:szCs w:val="20"/>
                <w:color w:val="auto"/>
              </w:rPr>
            </w:pPr>
            <w:r>
              <w:rPr>
                <w:rFonts w:ascii="Arial" w:cs="Arial" w:eastAsia="Arial" w:hAnsi="Arial"/>
                <w:sz w:val="16"/>
                <w:szCs w:val="16"/>
                <w:color w:val="auto"/>
              </w:rPr>
              <w:t>Directors</w:t>
            </w:r>
          </w:p>
        </w:tc>
        <w:tc>
          <w:tcPr>
            <w:tcW w:w="520" w:type="dxa"/>
            <w:vAlign w:val="bottom"/>
            <w:tcBorders>
              <w:bottom w:val="single" w:sz="8" w:color="60BAFF"/>
              <w:right w:val="single" w:sz="8" w:color="B2B2B2"/>
            </w:tcBorders>
          </w:tcPr>
          <w:p>
            <w:pPr>
              <w:jc w:val="center"/>
              <w:spacing w:after="0" w:line="183" w:lineRule="exact"/>
              <w:rPr>
                <w:sz w:val="20"/>
                <w:szCs w:val="20"/>
                <w:color w:val="auto"/>
              </w:rPr>
            </w:pPr>
            <w:r>
              <w:rPr>
                <w:rFonts w:ascii="Arial" w:cs="Arial" w:eastAsia="Arial" w:hAnsi="Arial"/>
                <w:sz w:val="16"/>
                <w:szCs w:val="16"/>
                <w:color w:val="auto"/>
              </w:rPr>
              <w:t>3</w:t>
            </w:r>
          </w:p>
        </w:tc>
        <w:tc>
          <w:tcPr>
            <w:tcW w:w="800" w:type="dxa"/>
            <w:vAlign w:val="bottom"/>
            <w:tcBorders>
              <w:bottom w:val="single" w:sz="8" w:color="60BAFF"/>
              <w:right w:val="single" w:sz="8" w:color="B2B2B2"/>
            </w:tcBorders>
          </w:tcPr>
          <w:p>
            <w:pPr>
              <w:jc w:val="center"/>
              <w:spacing w:after="0" w:line="183" w:lineRule="exact"/>
              <w:rPr>
                <w:sz w:val="20"/>
                <w:szCs w:val="20"/>
                <w:color w:val="auto"/>
              </w:rPr>
            </w:pPr>
            <w:r>
              <w:rPr>
                <w:rFonts w:ascii="Arial" w:cs="Arial" w:eastAsia="Arial" w:hAnsi="Arial"/>
                <w:sz w:val="16"/>
                <w:szCs w:val="16"/>
                <w:color w:val="auto"/>
                <w:w w:val="89"/>
              </w:rPr>
              <w:t>2</w:t>
            </w:r>
          </w:p>
        </w:tc>
        <w:tc>
          <w:tcPr>
            <w:tcW w:w="1180" w:type="dxa"/>
            <w:vAlign w:val="bottom"/>
            <w:tcBorders>
              <w:bottom w:val="single" w:sz="8" w:color="60BAFF"/>
              <w:right w:val="single" w:sz="8" w:color="B2B2B2"/>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60BAFF"/>
            </w:tcBorders>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3"/>
        </w:trPr>
        <w:tc>
          <w:tcPr>
            <w:tcW w:w="7060" w:type="dxa"/>
            <w:vAlign w:val="bottom"/>
            <w:tcBorders>
              <w:bottom w:val="single" w:sz="8" w:color="60BAFF"/>
              <w:right w:val="single" w:sz="8" w:color="B2B2B2"/>
            </w:tcBorders>
          </w:tcPr>
          <w:p>
            <w:pPr>
              <w:ind w:left="60"/>
              <w:spacing w:after="0" w:line="183" w:lineRule="exact"/>
              <w:rPr>
                <w:sz w:val="20"/>
                <w:szCs w:val="20"/>
                <w:color w:val="auto"/>
              </w:rPr>
            </w:pPr>
            <w:r>
              <w:rPr>
                <w:rFonts w:ascii="Arial" w:cs="Arial" w:eastAsia="Arial" w:hAnsi="Arial"/>
                <w:sz w:val="16"/>
                <w:szCs w:val="16"/>
                <w:b w:val="1"/>
                <w:bCs w:val="1"/>
                <w:color w:val="auto"/>
              </w:rPr>
              <w:t>Part II: Demographic Background</w:t>
            </w:r>
          </w:p>
        </w:tc>
        <w:tc>
          <w:tcPr>
            <w:tcW w:w="520" w:type="dxa"/>
            <w:vAlign w:val="bottom"/>
            <w:tcBorders>
              <w:bottom w:val="single" w:sz="8" w:color="60BAFF"/>
              <w:right w:val="single" w:sz="8" w:color="B2B2B2"/>
            </w:tcBorders>
          </w:tcPr>
          <w:p>
            <w:pPr>
              <w:spacing w:after="0"/>
              <w:rPr>
                <w:sz w:val="15"/>
                <w:szCs w:val="15"/>
                <w:color w:val="auto"/>
              </w:rPr>
            </w:pPr>
          </w:p>
        </w:tc>
        <w:tc>
          <w:tcPr>
            <w:tcW w:w="800" w:type="dxa"/>
            <w:vAlign w:val="bottom"/>
            <w:tcBorders>
              <w:bottom w:val="single" w:sz="8" w:color="60BAFF"/>
              <w:right w:val="single" w:sz="8" w:color="B2B2B2"/>
            </w:tcBorders>
          </w:tcPr>
          <w:p>
            <w:pPr>
              <w:spacing w:after="0"/>
              <w:rPr>
                <w:sz w:val="15"/>
                <w:szCs w:val="15"/>
                <w:color w:val="auto"/>
              </w:rPr>
            </w:pPr>
          </w:p>
        </w:tc>
        <w:tc>
          <w:tcPr>
            <w:tcW w:w="1180" w:type="dxa"/>
            <w:vAlign w:val="bottom"/>
            <w:tcBorders>
              <w:bottom w:val="single" w:sz="8" w:color="60BAFF"/>
              <w:right w:val="single" w:sz="8" w:color="B2B2B2"/>
            </w:tcBorders>
          </w:tcPr>
          <w:p>
            <w:pPr>
              <w:spacing w:after="0"/>
              <w:rPr>
                <w:sz w:val="15"/>
                <w:szCs w:val="15"/>
                <w:color w:val="auto"/>
              </w:rPr>
            </w:pPr>
          </w:p>
        </w:tc>
        <w:tc>
          <w:tcPr>
            <w:tcW w:w="1460" w:type="dxa"/>
            <w:vAlign w:val="bottom"/>
            <w:tcBorders>
              <w:bottom w:val="single" w:sz="8" w:color="60BAFF"/>
            </w:tcBorders>
          </w:tcPr>
          <w:p>
            <w:pPr>
              <w:spacing w:after="0"/>
              <w:rPr>
                <w:sz w:val="15"/>
                <w:szCs w:val="15"/>
                <w:color w:val="auto"/>
              </w:rPr>
            </w:pPr>
          </w:p>
        </w:tc>
      </w:tr>
      <w:tr>
        <w:trPr>
          <w:trHeight w:val="183"/>
        </w:trPr>
        <w:tc>
          <w:tcPr>
            <w:tcW w:w="7060" w:type="dxa"/>
            <w:vAlign w:val="bottom"/>
            <w:tcBorders>
              <w:right w:val="single" w:sz="8" w:color="B2B2B2"/>
            </w:tcBorders>
            <w:shd w:val="clear" w:color="auto" w:fill="F2FFFF"/>
          </w:tcPr>
          <w:p>
            <w:pPr>
              <w:ind w:left="280"/>
              <w:spacing w:after="0" w:line="183" w:lineRule="exact"/>
              <w:rPr>
                <w:sz w:val="20"/>
                <w:szCs w:val="20"/>
                <w:color w:val="auto"/>
              </w:rPr>
            </w:pPr>
            <w:r>
              <w:rPr>
                <w:rFonts w:ascii="Arial" w:cs="Arial" w:eastAsia="Arial" w:hAnsi="Arial"/>
                <w:sz w:val="16"/>
                <w:szCs w:val="16"/>
                <w:color w:val="auto"/>
              </w:rPr>
              <w:t>African American or Black</w:t>
            </w:r>
          </w:p>
        </w:tc>
        <w:tc>
          <w:tcPr>
            <w:tcW w:w="520" w:type="dxa"/>
            <w:vAlign w:val="bottom"/>
            <w:tcBorders>
              <w:right w:val="single" w:sz="8" w:color="B2B2B2"/>
            </w:tcBorders>
            <w:shd w:val="clear" w:color="auto" w:fill="F2FFFF"/>
          </w:tcPr>
          <w:p>
            <w:pPr>
              <w:jc w:val="center"/>
              <w:spacing w:after="0" w:line="183" w:lineRule="exact"/>
              <w:rPr>
                <w:sz w:val="20"/>
                <w:szCs w:val="20"/>
                <w:color w:val="auto"/>
              </w:rPr>
            </w:pPr>
            <w:r>
              <w:rPr>
                <w:rFonts w:ascii="Arial" w:cs="Arial" w:eastAsia="Arial" w:hAnsi="Arial"/>
                <w:sz w:val="16"/>
                <w:szCs w:val="16"/>
                <w:color w:val="auto"/>
                <w:w w:val="99"/>
              </w:rPr>
              <w:t>—</w:t>
            </w:r>
          </w:p>
        </w:tc>
        <w:tc>
          <w:tcPr>
            <w:tcW w:w="800" w:type="dxa"/>
            <w:vAlign w:val="bottom"/>
            <w:tcBorders>
              <w:right w:val="single" w:sz="8" w:color="B2B2B2"/>
            </w:tcBorders>
            <w:shd w:val="clear" w:color="auto" w:fill="F2FFFF"/>
          </w:tcPr>
          <w:p>
            <w:pPr>
              <w:jc w:val="center"/>
              <w:spacing w:after="0" w:line="183" w:lineRule="exact"/>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shd w:val="clear" w:color="auto" w:fill="F2FFFF"/>
          </w:tcPr>
          <w:p>
            <w:pPr>
              <w:jc w:val="center"/>
              <w:spacing w:after="0" w:line="183" w:lineRule="exact"/>
              <w:rPr>
                <w:sz w:val="20"/>
                <w:szCs w:val="20"/>
                <w:color w:val="auto"/>
              </w:rPr>
            </w:pPr>
            <w:r>
              <w:rPr>
                <w:rFonts w:ascii="Arial" w:cs="Arial" w:eastAsia="Arial" w:hAnsi="Arial"/>
                <w:sz w:val="16"/>
                <w:szCs w:val="16"/>
                <w:color w:val="auto"/>
                <w:w w:val="99"/>
              </w:rPr>
              <w:t>—</w:t>
            </w:r>
          </w:p>
        </w:tc>
        <w:tc>
          <w:tcPr>
            <w:tcW w:w="1460" w:type="dxa"/>
            <w:vAlign w:val="bottom"/>
            <w:shd w:val="clear" w:color="auto" w:fill="F2FFFF"/>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Alaskan Native or Native American</w:t>
            </w:r>
          </w:p>
        </w:tc>
        <w:tc>
          <w:tcPr>
            <w:tcW w:w="52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Asian</w:t>
            </w:r>
          </w:p>
        </w:tc>
        <w:tc>
          <w:tcPr>
            <w:tcW w:w="52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rPr>
              <w:t>1</w:t>
            </w:r>
          </w:p>
        </w:tc>
        <w:tc>
          <w:tcPr>
            <w:tcW w:w="80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shd w:val="clear" w:color="auto" w:fill="F2FFFF"/>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Hispanic or Latinx</w:t>
            </w:r>
          </w:p>
        </w:tc>
        <w:tc>
          <w:tcPr>
            <w:tcW w:w="52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Native Hawaiian or Pacific Islander</w:t>
            </w:r>
          </w:p>
        </w:tc>
        <w:tc>
          <w:tcPr>
            <w:tcW w:w="52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shd w:val="clear" w:color="auto" w:fill="F2FFFF"/>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shd w:val="clear" w:color="auto" w:fill="F2FFFF"/>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White</w:t>
            </w:r>
          </w:p>
        </w:tc>
        <w:tc>
          <w:tcPr>
            <w:tcW w:w="52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rPr>
              <w:t>4</w:t>
            </w:r>
          </w:p>
        </w:tc>
        <w:tc>
          <w:tcPr>
            <w:tcW w:w="80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Borders>
              <w:right w:val="single" w:sz="8" w:color="B2B2B2"/>
            </w:tcBorders>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189"/>
        </w:trPr>
        <w:tc>
          <w:tcPr>
            <w:tcW w:w="7060" w:type="dxa"/>
            <w:vAlign w:val="bottom"/>
            <w:tcBorders>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Two or More Races or Ethnicities</w:t>
            </w:r>
          </w:p>
        </w:tc>
        <w:tc>
          <w:tcPr>
            <w:tcW w:w="520" w:type="dxa"/>
            <w:vAlign w:val="bottom"/>
            <w:tcBorders>
              <w:right w:val="single" w:sz="8" w:color="F2FFFF"/>
            </w:tcBorders>
            <w:shd w:val="clear" w:color="auto" w:fill="F2FFFF"/>
          </w:tcPr>
          <w:p>
            <w:pPr>
              <w:spacing w:after="0"/>
              <w:rPr>
                <w:sz w:val="16"/>
                <w:szCs w:val="16"/>
                <w:color w:val="auto"/>
              </w:rPr>
            </w:pPr>
          </w:p>
        </w:tc>
        <w:tc>
          <w:tcPr>
            <w:tcW w:w="800" w:type="dxa"/>
            <w:vAlign w:val="bottom"/>
            <w:tcBorders>
              <w:right w:val="single" w:sz="8" w:color="F2FFFF"/>
            </w:tcBorders>
            <w:shd w:val="clear" w:color="auto" w:fill="F2FFFF"/>
          </w:tcPr>
          <w:p>
            <w:pPr>
              <w:spacing w:after="0"/>
              <w:rPr>
                <w:sz w:val="16"/>
                <w:szCs w:val="16"/>
                <w:color w:val="auto"/>
              </w:rPr>
            </w:pPr>
          </w:p>
        </w:tc>
        <w:tc>
          <w:tcPr>
            <w:tcW w:w="1180" w:type="dxa"/>
            <w:vAlign w:val="bottom"/>
            <w:tcBorders>
              <w:right w:val="single" w:sz="8" w:color="F2FFFF"/>
            </w:tcBorders>
            <w:shd w:val="clear" w:color="auto" w:fill="F2FFFF"/>
          </w:tcPr>
          <w:p>
            <w:pPr>
              <w:ind w:left="340"/>
              <w:spacing w:after="0"/>
              <w:rPr>
                <w:sz w:val="20"/>
                <w:szCs w:val="20"/>
                <w:color w:val="auto"/>
              </w:rPr>
            </w:pPr>
            <w:r>
              <w:rPr>
                <w:rFonts w:ascii="Arial" w:cs="Arial" w:eastAsia="Arial" w:hAnsi="Arial"/>
                <w:sz w:val="16"/>
                <w:szCs w:val="16"/>
                <w:color w:val="auto"/>
              </w:rPr>
              <w:t>—</w:t>
            </w:r>
          </w:p>
        </w:tc>
        <w:tc>
          <w:tcPr>
            <w:tcW w:w="1460" w:type="dxa"/>
            <w:vAlign w:val="bottom"/>
            <w:shd w:val="clear" w:color="auto" w:fill="F2FFFF"/>
          </w:tcPr>
          <w:p>
            <w:pPr>
              <w:spacing w:after="0"/>
              <w:rPr>
                <w:sz w:val="16"/>
                <w:szCs w:val="16"/>
                <w:color w:val="auto"/>
              </w:rPr>
            </w:pPr>
          </w:p>
        </w:tc>
      </w:tr>
      <w:tr>
        <w:trPr>
          <w:trHeight w:val="189"/>
        </w:trPr>
        <w:tc>
          <w:tcPr>
            <w:tcW w:w="706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LGBTQ+</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ind w:left="34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6"/>
                <w:szCs w:val="16"/>
                <w:color w:val="auto"/>
              </w:rPr>
            </w:pPr>
          </w:p>
        </w:tc>
      </w:tr>
      <w:tr>
        <w:trPr>
          <w:trHeight w:val="189"/>
        </w:trPr>
        <w:tc>
          <w:tcPr>
            <w:tcW w:w="7060" w:type="dxa"/>
            <w:vAlign w:val="bottom"/>
            <w:tcBorders>
              <w:bottom w:val="single" w:sz="8" w:color="B2B2B2"/>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Did Not Disclose Demographic Background</w:t>
            </w:r>
          </w:p>
        </w:tc>
        <w:tc>
          <w:tcPr>
            <w:tcW w:w="520" w:type="dxa"/>
            <w:vAlign w:val="bottom"/>
            <w:tcBorders>
              <w:bottom w:val="single" w:sz="8" w:color="B2B2B2"/>
              <w:right w:val="single" w:sz="8" w:color="F2FFFF"/>
            </w:tcBorders>
            <w:shd w:val="clear" w:color="auto" w:fill="F2FFFF"/>
          </w:tcPr>
          <w:p>
            <w:pPr>
              <w:spacing w:after="0"/>
              <w:rPr>
                <w:sz w:val="16"/>
                <w:szCs w:val="16"/>
                <w:color w:val="auto"/>
              </w:rPr>
            </w:pPr>
          </w:p>
        </w:tc>
        <w:tc>
          <w:tcPr>
            <w:tcW w:w="800" w:type="dxa"/>
            <w:vAlign w:val="bottom"/>
            <w:tcBorders>
              <w:bottom w:val="single" w:sz="8" w:color="B2B2B2"/>
              <w:right w:val="single" w:sz="8" w:color="F2FFFF"/>
            </w:tcBorders>
            <w:shd w:val="clear" w:color="auto" w:fill="F2FFFF"/>
          </w:tcPr>
          <w:p>
            <w:pPr>
              <w:spacing w:after="0"/>
              <w:rPr>
                <w:sz w:val="16"/>
                <w:szCs w:val="16"/>
                <w:color w:val="auto"/>
              </w:rPr>
            </w:pPr>
          </w:p>
        </w:tc>
        <w:tc>
          <w:tcPr>
            <w:tcW w:w="1180" w:type="dxa"/>
            <w:vAlign w:val="bottom"/>
            <w:tcBorders>
              <w:bottom w:val="single" w:sz="8" w:color="B2B2B2"/>
              <w:right w:val="single" w:sz="8" w:color="F2FFFF"/>
            </w:tcBorders>
            <w:shd w:val="clear" w:color="auto" w:fill="F2FFFF"/>
          </w:tcPr>
          <w:p>
            <w:pPr>
              <w:ind w:left="3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2B2B2"/>
            </w:tcBorders>
            <w:shd w:val="clear" w:color="auto" w:fill="F2FFFF"/>
          </w:tcPr>
          <w:p>
            <w:pPr>
              <w:spacing w:after="0"/>
              <w:rPr>
                <w:sz w:val="16"/>
                <w:szCs w:val="16"/>
                <w:color w:val="auto"/>
              </w:rPr>
            </w:pPr>
          </w:p>
        </w:tc>
      </w:tr>
      <w:tr>
        <w:trPr>
          <w:trHeight w:val="142"/>
        </w:trPr>
        <w:tc>
          <w:tcPr>
            <w:tcW w:w="7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694"/>
        </w:trPr>
        <w:tc>
          <w:tcPr>
            <w:tcW w:w="7060" w:type="dxa"/>
            <w:vAlign w:val="bottom"/>
            <w:tcBorders>
              <w:right w:val="single" w:sz="8" w:color="FFF7ED"/>
            </w:tcBorders>
            <w:shd w:val="clear" w:color="auto" w:fill="FFF7ED"/>
          </w:tcPr>
          <w:p>
            <w:pPr>
              <w:spacing w:after="0"/>
              <w:rPr>
                <w:sz w:val="24"/>
                <w:szCs w:val="24"/>
                <w:color w:val="auto"/>
              </w:rPr>
            </w:pPr>
          </w:p>
        </w:tc>
        <w:tc>
          <w:tcPr>
            <w:tcW w:w="520" w:type="dxa"/>
            <w:vAlign w:val="bottom"/>
            <w:tcBorders>
              <w:right w:val="single" w:sz="8" w:color="FFF7ED"/>
            </w:tcBorders>
            <w:shd w:val="clear" w:color="auto" w:fill="FFF7ED"/>
          </w:tcPr>
          <w:p>
            <w:pPr>
              <w:spacing w:after="0"/>
              <w:rPr>
                <w:sz w:val="24"/>
                <w:szCs w:val="24"/>
                <w:color w:val="auto"/>
              </w:rPr>
            </w:pPr>
          </w:p>
        </w:tc>
        <w:tc>
          <w:tcPr>
            <w:tcW w:w="800" w:type="dxa"/>
            <w:vAlign w:val="bottom"/>
            <w:tcBorders>
              <w:right w:val="single" w:sz="8" w:color="FFF7ED"/>
            </w:tcBorders>
            <w:shd w:val="clear" w:color="auto" w:fill="FFF7ED"/>
          </w:tcPr>
          <w:p>
            <w:pPr>
              <w:spacing w:after="0"/>
              <w:rPr>
                <w:sz w:val="24"/>
                <w:szCs w:val="24"/>
                <w:color w:val="auto"/>
              </w:rPr>
            </w:pPr>
          </w:p>
        </w:tc>
        <w:tc>
          <w:tcPr>
            <w:tcW w:w="1180" w:type="dxa"/>
            <w:vAlign w:val="bottom"/>
            <w:tcBorders>
              <w:right w:val="single" w:sz="8" w:color="FFF7ED"/>
            </w:tcBorders>
            <w:shd w:val="clear" w:color="auto" w:fill="FFF7ED"/>
          </w:tcPr>
          <w:p>
            <w:pPr>
              <w:spacing w:after="0"/>
              <w:rPr>
                <w:sz w:val="24"/>
                <w:szCs w:val="24"/>
                <w:color w:val="auto"/>
              </w:rPr>
            </w:pPr>
          </w:p>
        </w:tc>
        <w:tc>
          <w:tcPr>
            <w:tcW w:w="1460" w:type="dxa"/>
            <w:vAlign w:val="bottom"/>
            <w:shd w:val="clear" w:color="auto" w:fill="FFF7ED"/>
          </w:tcPr>
          <w:p>
            <w:pPr>
              <w:jc w:val="right"/>
              <w:ind w:right="159"/>
              <w:spacing w:after="0"/>
              <w:rPr>
                <w:sz w:val="20"/>
                <w:szCs w:val="20"/>
                <w:color w:val="auto"/>
              </w:rPr>
            </w:pPr>
            <w:r>
              <w:rPr>
                <w:rFonts w:ascii="Arial" w:cs="Arial" w:eastAsia="Arial" w:hAnsi="Arial"/>
                <w:sz w:val="16"/>
                <w:szCs w:val="16"/>
                <w:b w:val="1"/>
                <w:bCs w:val="1"/>
                <w:color w:val="auto"/>
              </w:rPr>
              <w:t>7</w:t>
            </w:r>
          </w:p>
        </w:tc>
      </w:tr>
      <w:tr>
        <w:trPr>
          <w:trHeight w:val="413"/>
        </w:trPr>
        <w:tc>
          <w:tcPr>
            <w:tcW w:w="7060" w:type="dxa"/>
            <w:vAlign w:val="bottom"/>
            <w:tcBorders>
              <w:right w:val="single" w:sz="8" w:color="FFF7ED"/>
            </w:tcBorders>
            <w:shd w:val="clear" w:color="auto" w:fill="FFF7ED"/>
          </w:tcPr>
          <w:p>
            <w:pPr>
              <w:spacing w:after="0"/>
              <w:rPr>
                <w:sz w:val="24"/>
                <w:szCs w:val="24"/>
                <w:color w:val="auto"/>
              </w:rPr>
            </w:pPr>
          </w:p>
        </w:tc>
        <w:tc>
          <w:tcPr>
            <w:tcW w:w="520" w:type="dxa"/>
            <w:vAlign w:val="bottom"/>
            <w:tcBorders>
              <w:right w:val="single" w:sz="8" w:color="FFF7ED"/>
            </w:tcBorders>
            <w:shd w:val="clear" w:color="auto" w:fill="FFF7ED"/>
          </w:tcPr>
          <w:p>
            <w:pPr>
              <w:spacing w:after="0"/>
              <w:rPr>
                <w:sz w:val="24"/>
                <w:szCs w:val="24"/>
                <w:color w:val="auto"/>
              </w:rPr>
            </w:pPr>
          </w:p>
        </w:tc>
        <w:tc>
          <w:tcPr>
            <w:tcW w:w="800" w:type="dxa"/>
            <w:vAlign w:val="bottom"/>
            <w:tcBorders>
              <w:right w:val="single" w:sz="8" w:color="FFF7ED"/>
            </w:tcBorders>
            <w:shd w:val="clear" w:color="auto" w:fill="FFF7ED"/>
          </w:tcPr>
          <w:p>
            <w:pPr>
              <w:spacing w:after="0"/>
              <w:rPr>
                <w:sz w:val="24"/>
                <w:szCs w:val="24"/>
                <w:color w:val="auto"/>
              </w:rPr>
            </w:pPr>
          </w:p>
        </w:tc>
        <w:tc>
          <w:tcPr>
            <w:tcW w:w="1180" w:type="dxa"/>
            <w:vAlign w:val="bottom"/>
            <w:tcBorders>
              <w:right w:val="single" w:sz="8" w:color="FFF7ED"/>
            </w:tcBorders>
            <w:shd w:val="clear" w:color="auto" w:fill="FFF7ED"/>
          </w:tcPr>
          <w:p>
            <w:pPr>
              <w:spacing w:after="0"/>
              <w:rPr>
                <w:sz w:val="24"/>
                <w:szCs w:val="24"/>
                <w:color w:val="auto"/>
              </w:rPr>
            </w:pPr>
          </w:p>
        </w:tc>
        <w:tc>
          <w:tcPr>
            <w:tcW w:w="1460" w:type="dxa"/>
            <w:vAlign w:val="bottom"/>
            <w:shd w:val="clear" w:color="auto" w:fill="FFF7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-548005</wp:posOffset>
            </wp:positionV>
            <wp:extent cx="1337310" cy="548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Executive Compensation—A Transition Year of a New Public Company</w:t>
      </w:r>
    </w:p>
    <w:p>
      <w:pPr>
        <w:spacing w:after="0" w:line="249"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color w:val="auto"/>
        </w:rPr>
        <w:t>We are an “emerging growth company,” as defined in the JOBS Act. As an emerging growth company, we have reduced disclosure and are exempt from certain requirements related to executive compensation, including the requirements to hold non-binding advisory votes on executive compensation and to provide information relating to the ratio of total compensation of our Chief Executive Officer to the median of the annual total compensation of all of our employees.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Processes and Procedures for Compensation Decisions</w:t>
      </w:r>
    </w:p>
    <w:p>
      <w:pPr>
        <w:spacing w:after="0" w:line="225" w:lineRule="exact"/>
        <w:rPr>
          <w:sz w:val="20"/>
          <w:szCs w:val="20"/>
          <w:color w:val="auto"/>
        </w:rPr>
      </w:pPr>
    </w:p>
    <w:p>
      <w:pPr>
        <w:ind w:left="120" w:right="140"/>
        <w:spacing w:after="0" w:line="307" w:lineRule="auto"/>
        <w:rPr>
          <w:sz w:val="20"/>
          <w:szCs w:val="20"/>
          <w:color w:val="auto"/>
        </w:rPr>
      </w:pPr>
      <w:r>
        <w:rPr>
          <w:rFonts w:ascii="Arial" w:cs="Arial" w:eastAsia="Arial" w:hAnsi="Arial"/>
          <w:sz w:val="16"/>
          <w:szCs w:val="16"/>
          <w:color w:val="auto"/>
        </w:rPr>
        <w:t>Our Compensation Committee is primarily responsible for establishing and reviewing our general compensation strategy. In addition, the Compensation Committee oversees our compensation and benefit plans and policies, administers our equity incentive plans and reviews and approves annually all compensation decisions relating to all of our executive officers, including our Named Executive Officers (as defined in “Named Executive Officer Compensation Tables” below). The Compensation Committee considers recommendations from our Chief Executive Officer regarding the compensation of our executive officers, other than himself. Under its charter, our Compensation Committee has the right to retain or obtain the advice of compensation consultants, independent legal counsel and other advisers.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Key elements of our compensation program for Named Executive Officers are set forth below.</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390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Compensation Element</w:t>
            </w:r>
          </w:p>
        </w:tc>
        <w:tc>
          <w:tcPr>
            <w:tcW w:w="3780" w:type="dxa"/>
            <w:vAlign w:val="bottom"/>
            <w:tcBorders>
              <w:right w:val="single" w:sz="8" w:color="B2B2B2"/>
            </w:tcBorders>
          </w:tcPr>
          <w:p>
            <w:pPr>
              <w:ind w:left="1400"/>
              <w:spacing w:after="0"/>
              <w:rPr>
                <w:sz w:val="20"/>
                <w:szCs w:val="20"/>
                <w:color w:val="auto"/>
              </w:rPr>
            </w:pPr>
            <w:r>
              <w:rPr>
                <w:rFonts w:ascii="Arial" w:cs="Arial" w:eastAsia="Arial" w:hAnsi="Arial"/>
                <w:sz w:val="14"/>
                <w:szCs w:val="14"/>
                <w:b w:val="1"/>
                <w:bCs w:val="1"/>
                <w:color w:val="60BAFF"/>
              </w:rPr>
              <w:t>Brief Description</w:t>
            </w:r>
          </w:p>
        </w:tc>
        <w:tc>
          <w:tcPr>
            <w:tcW w:w="3340" w:type="dxa"/>
            <w:vAlign w:val="bottom"/>
          </w:tcPr>
          <w:p>
            <w:pPr>
              <w:ind w:left="1340"/>
              <w:spacing w:after="0"/>
              <w:rPr>
                <w:sz w:val="20"/>
                <w:szCs w:val="20"/>
                <w:color w:val="auto"/>
              </w:rPr>
            </w:pPr>
            <w:r>
              <w:rPr>
                <w:rFonts w:ascii="Arial" w:cs="Arial" w:eastAsia="Arial" w:hAnsi="Arial"/>
                <w:sz w:val="14"/>
                <w:szCs w:val="14"/>
                <w:b w:val="1"/>
                <w:bCs w:val="1"/>
                <w:color w:val="60BAFF"/>
              </w:rPr>
              <w:t>Objectives</w:t>
            </w:r>
          </w:p>
        </w:tc>
      </w:tr>
      <w:tr>
        <w:trPr>
          <w:trHeight w:val="43"/>
        </w:trPr>
        <w:tc>
          <w:tcPr>
            <w:tcW w:w="3900" w:type="dxa"/>
            <w:vAlign w:val="bottom"/>
            <w:tcBorders>
              <w:bottom w:val="single" w:sz="8" w:color="60BAFF"/>
              <w:right w:val="single" w:sz="8" w:color="B2B2B2"/>
            </w:tcBorders>
          </w:tcPr>
          <w:p>
            <w:pPr>
              <w:spacing w:after="0"/>
              <w:rPr>
                <w:sz w:val="3"/>
                <w:szCs w:val="3"/>
                <w:color w:val="auto"/>
              </w:rPr>
            </w:pPr>
          </w:p>
        </w:tc>
        <w:tc>
          <w:tcPr>
            <w:tcW w:w="3780" w:type="dxa"/>
            <w:vAlign w:val="bottom"/>
            <w:tcBorders>
              <w:bottom w:val="single" w:sz="8" w:color="60BAFF"/>
              <w:right w:val="single" w:sz="8" w:color="B2B2B2"/>
            </w:tcBorders>
          </w:tcPr>
          <w:p>
            <w:pPr>
              <w:spacing w:after="0"/>
              <w:rPr>
                <w:sz w:val="3"/>
                <w:szCs w:val="3"/>
                <w:color w:val="auto"/>
              </w:rPr>
            </w:pPr>
          </w:p>
        </w:tc>
        <w:tc>
          <w:tcPr>
            <w:tcW w:w="3340" w:type="dxa"/>
            <w:vAlign w:val="bottom"/>
            <w:tcBorders>
              <w:bottom w:val="single" w:sz="8" w:color="60BAFF"/>
            </w:tcBorders>
          </w:tcPr>
          <w:p>
            <w:pPr>
              <w:spacing w:after="0"/>
              <w:rPr>
                <w:sz w:val="3"/>
                <w:szCs w:val="3"/>
                <w:color w:val="auto"/>
              </w:rPr>
            </w:pPr>
          </w:p>
        </w:tc>
      </w:tr>
      <w:tr>
        <w:trPr>
          <w:trHeight w:val="269"/>
        </w:trPr>
        <w:tc>
          <w:tcPr>
            <w:tcW w:w="39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Base Salary</w:t>
            </w: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Fixed cash compensation</w:t>
            </w:r>
          </w:p>
        </w:tc>
        <w:tc>
          <w:tcPr>
            <w:tcW w:w="3340" w:type="dxa"/>
            <w:vAlign w:val="bottom"/>
          </w:tcPr>
          <w:p>
            <w:pPr>
              <w:ind w:left="100"/>
              <w:spacing w:after="0"/>
              <w:rPr>
                <w:sz w:val="20"/>
                <w:szCs w:val="20"/>
                <w:color w:val="auto"/>
              </w:rPr>
            </w:pPr>
            <w:r>
              <w:rPr>
                <w:rFonts w:ascii="Arial" w:cs="Arial" w:eastAsia="Arial" w:hAnsi="Arial"/>
                <w:sz w:val="16"/>
                <w:szCs w:val="16"/>
                <w:color w:val="auto"/>
              </w:rPr>
              <w:t>Attract and retain key executives</w:t>
            </w:r>
          </w:p>
        </w:tc>
      </w:tr>
      <w:tr>
        <w:trPr>
          <w:trHeight w:val="289"/>
        </w:trPr>
        <w:tc>
          <w:tcPr>
            <w:tcW w:w="390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Equity Awards</w:t>
            </w:r>
          </w:p>
        </w:tc>
        <w:tc>
          <w:tcPr>
            <w:tcW w:w="3780" w:type="dxa"/>
            <w:vAlign w:val="bottom"/>
            <w:tcBorders>
              <w:right w:val="single" w:sz="8" w:color="B2B2B2"/>
            </w:tcBorders>
            <w:shd w:val="clear" w:color="auto" w:fill="F2FFFF"/>
          </w:tcPr>
          <w:p>
            <w:pPr>
              <w:ind w:left="200"/>
              <w:spacing w:after="0"/>
              <w:rPr>
                <w:sz w:val="20"/>
                <w:szCs w:val="20"/>
                <w:color w:val="auto"/>
              </w:rPr>
            </w:pPr>
            <w:r>
              <w:rPr>
                <w:rFonts w:ascii="Arial" w:cs="Arial" w:eastAsia="Arial" w:hAnsi="Arial"/>
                <w:sz w:val="16"/>
                <w:szCs w:val="16"/>
                <w:color w:val="auto"/>
              </w:rPr>
              <w:t>Restricted Stock Units (RSUs); and</w:t>
            </w:r>
          </w:p>
        </w:tc>
        <w:tc>
          <w:tcPr>
            <w:tcW w:w="3340" w:type="dxa"/>
            <w:vAlign w:val="bottom"/>
            <w:shd w:val="clear" w:color="auto" w:fill="F2FFFF"/>
          </w:tcPr>
          <w:p>
            <w:pPr>
              <w:ind w:left="100"/>
              <w:spacing w:after="0"/>
              <w:rPr>
                <w:sz w:val="20"/>
                <w:szCs w:val="20"/>
                <w:color w:val="auto"/>
              </w:rPr>
            </w:pPr>
            <w:r>
              <w:rPr>
                <w:rFonts w:ascii="Arial" w:cs="Arial" w:eastAsia="Arial" w:hAnsi="Arial"/>
                <w:sz w:val="16"/>
                <w:szCs w:val="16"/>
                <w:color w:val="auto"/>
              </w:rPr>
              <w:t>Enhance alignment with stockholders</w:t>
            </w:r>
          </w:p>
        </w:tc>
      </w:tr>
      <w:tr>
        <w:trPr>
          <w:trHeight w:val="351"/>
        </w:trPr>
        <w:tc>
          <w:tcPr>
            <w:tcW w:w="3900" w:type="dxa"/>
            <w:vAlign w:val="bottom"/>
            <w:tcBorders>
              <w:right w:val="single" w:sz="8" w:color="B2B2B2"/>
            </w:tcBorders>
            <w:shd w:val="clear" w:color="auto" w:fill="F2FFFF"/>
          </w:tcPr>
          <w:p>
            <w:pPr>
              <w:spacing w:after="0"/>
              <w:rPr>
                <w:sz w:val="24"/>
                <w:szCs w:val="24"/>
                <w:color w:val="auto"/>
              </w:rPr>
            </w:pPr>
          </w:p>
        </w:tc>
        <w:tc>
          <w:tcPr>
            <w:tcW w:w="3780" w:type="dxa"/>
            <w:vAlign w:val="bottom"/>
            <w:tcBorders>
              <w:right w:val="single" w:sz="8" w:color="B2B2B2"/>
            </w:tcBorders>
            <w:shd w:val="clear" w:color="auto" w:fill="F2FFFF"/>
          </w:tcPr>
          <w:p>
            <w:pPr>
              <w:ind w:left="200"/>
              <w:spacing w:after="0"/>
              <w:rPr>
                <w:sz w:val="20"/>
                <w:szCs w:val="20"/>
                <w:color w:val="auto"/>
              </w:rPr>
            </w:pPr>
            <w:r>
              <w:rPr>
                <w:rFonts w:ascii="Arial" w:cs="Arial" w:eastAsia="Arial" w:hAnsi="Arial"/>
                <w:sz w:val="16"/>
                <w:szCs w:val="16"/>
                <w:color w:val="auto"/>
              </w:rPr>
              <w:t>Stock options</w:t>
            </w:r>
          </w:p>
        </w:tc>
        <w:tc>
          <w:tcPr>
            <w:tcW w:w="3340" w:type="dxa"/>
            <w:vAlign w:val="bottom"/>
            <w:shd w:val="clear" w:color="auto" w:fill="F2FFFF"/>
          </w:tcPr>
          <w:p>
            <w:pPr>
              <w:ind w:left="100"/>
              <w:spacing w:after="0"/>
              <w:rPr>
                <w:sz w:val="20"/>
                <w:szCs w:val="20"/>
                <w:color w:val="auto"/>
              </w:rPr>
            </w:pPr>
            <w:r>
              <w:rPr>
                <w:rFonts w:ascii="Arial" w:cs="Arial" w:eastAsia="Arial" w:hAnsi="Arial"/>
                <w:sz w:val="16"/>
                <w:szCs w:val="16"/>
                <w:color w:val="auto"/>
              </w:rPr>
              <w:t>Multiple award types provide diverse</w:t>
            </w:r>
          </w:p>
        </w:tc>
      </w:tr>
      <w:tr>
        <w:trPr>
          <w:trHeight w:val="238"/>
        </w:trPr>
        <w:tc>
          <w:tcPr>
            <w:tcW w:w="3900" w:type="dxa"/>
            <w:vAlign w:val="bottom"/>
            <w:tcBorders>
              <w:bottom w:val="single" w:sz="8" w:color="F2FFFF"/>
              <w:right w:val="single" w:sz="8" w:color="B2B2B2"/>
            </w:tcBorders>
            <w:shd w:val="clear" w:color="auto" w:fill="F2FFFF"/>
          </w:tcPr>
          <w:p>
            <w:pPr>
              <w:spacing w:after="0"/>
              <w:rPr>
                <w:sz w:val="20"/>
                <w:szCs w:val="20"/>
                <w:color w:val="auto"/>
              </w:rPr>
            </w:pPr>
          </w:p>
        </w:tc>
        <w:tc>
          <w:tcPr>
            <w:tcW w:w="3780" w:type="dxa"/>
            <w:vAlign w:val="bottom"/>
            <w:tcBorders>
              <w:bottom w:val="single" w:sz="8" w:color="F2FFFF"/>
              <w:right w:val="single" w:sz="8" w:color="B2B2B2"/>
            </w:tcBorders>
            <w:shd w:val="clear" w:color="auto" w:fill="F2FFFF"/>
          </w:tcPr>
          <w:p>
            <w:pPr>
              <w:spacing w:after="0"/>
              <w:rPr>
                <w:sz w:val="20"/>
                <w:szCs w:val="20"/>
                <w:color w:val="auto"/>
              </w:rPr>
            </w:pPr>
          </w:p>
        </w:tc>
        <w:tc>
          <w:tcPr>
            <w:tcW w:w="3340" w:type="dxa"/>
            <w:vAlign w:val="bottom"/>
            <w:tcBorders>
              <w:bottom w:val="single" w:sz="8" w:color="F2FFFF"/>
            </w:tcBorders>
            <w:shd w:val="clear" w:color="auto" w:fill="F2FFFF"/>
          </w:tcPr>
          <w:p>
            <w:pPr>
              <w:ind w:left="100"/>
              <w:spacing w:after="0"/>
              <w:rPr>
                <w:sz w:val="20"/>
                <w:szCs w:val="20"/>
                <w:color w:val="auto"/>
              </w:rPr>
            </w:pPr>
            <w:r>
              <w:rPr>
                <w:rFonts w:ascii="Arial" w:cs="Arial" w:eastAsia="Arial" w:hAnsi="Arial"/>
                <w:sz w:val="16"/>
                <w:szCs w:val="16"/>
                <w:color w:val="auto"/>
              </w:rPr>
              <w:t>incentives</w:t>
            </w:r>
          </w:p>
        </w:tc>
      </w:tr>
      <w:tr>
        <w:trPr>
          <w:trHeight w:val="242"/>
        </w:trPr>
        <w:tc>
          <w:tcPr>
            <w:tcW w:w="39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Change of Control and</w:t>
            </w: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Lump sum payment of base salary that would</w:t>
            </w:r>
          </w:p>
        </w:tc>
        <w:tc>
          <w:tcPr>
            <w:tcW w:w="3340" w:type="dxa"/>
            <w:vAlign w:val="bottom"/>
          </w:tcPr>
          <w:p>
            <w:pPr>
              <w:ind w:left="100"/>
              <w:spacing w:after="0"/>
              <w:rPr>
                <w:sz w:val="20"/>
                <w:szCs w:val="20"/>
                <w:color w:val="auto"/>
              </w:rPr>
            </w:pPr>
            <w:r>
              <w:rPr>
                <w:rFonts w:ascii="Arial" w:cs="Arial" w:eastAsia="Arial" w:hAnsi="Arial"/>
                <w:sz w:val="16"/>
                <w:szCs w:val="16"/>
                <w:color w:val="auto"/>
              </w:rPr>
              <w:t>Motivate executives to drive business</w:t>
            </w:r>
          </w:p>
        </w:tc>
      </w:tr>
      <w:tr>
        <w:trPr>
          <w:trHeight w:val="269"/>
        </w:trPr>
        <w:tc>
          <w:tcPr>
            <w:tcW w:w="39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Severance Policy</w:t>
            </w: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have been earned during the applicable</w:t>
            </w:r>
          </w:p>
        </w:tc>
        <w:tc>
          <w:tcPr>
            <w:tcW w:w="3340" w:type="dxa"/>
            <w:vAlign w:val="bottom"/>
          </w:tcPr>
          <w:p>
            <w:pPr>
              <w:ind w:left="100"/>
              <w:spacing w:after="0"/>
              <w:rPr>
                <w:sz w:val="20"/>
                <w:szCs w:val="20"/>
                <w:color w:val="auto"/>
              </w:rPr>
            </w:pPr>
            <w:r>
              <w:rPr>
                <w:rFonts w:ascii="Arial" w:cs="Arial" w:eastAsia="Arial" w:hAnsi="Arial"/>
                <w:sz w:val="16"/>
                <w:szCs w:val="16"/>
                <w:color w:val="auto"/>
              </w:rPr>
              <w:t>success independent of the possible</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severance period;</w:t>
            </w:r>
          </w:p>
        </w:tc>
        <w:tc>
          <w:tcPr>
            <w:tcW w:w="3340" w:type="dxa"/>
            <w:vAlign w:val="bottom"/>
          </w:tcPr>
          <w:p>
            <w:pPr>
              <w:ind w:left="100"/>
              <w:spacing w:after="0"/>
              <w:rPr>
                <w:sz w:val="20"/>
                <w:szCs w:val="20"/>
                <w:color w:val="auto"/>
              </w:rPr>
            </w:pPr>
            <w:r>
              <w:rPr>
                <w:rFonts w:ascii="Arial" w:cs="Arial" w:eastAsia="Arial" w:hAnsi="Arial"/>
                <w:sz w:val="16"/>
                <w:szCs w:val="16"/>
                <w:color w:val="auto"/>
              </w:rPr>
              <w:t>occurrence of any transaction</w:t>
            </w:r>
          </w:p>
        </w:tc>
      </w:tr>
      <w:tr>
        <w:trPr>
          <w:trHeight w:val="351"/>
        </w:trPr>
        <w:tc>
          <w:tcPr>
            <w:tcW w:w="3900" w:type="dxa"/>
            <w:vAlign w:val="bottom"/>
            <w:tcBorders>
              <w:right w:val="single" w:sz="8" w:color="B2B2B2"/>
            </w:tcBorders>
          </w:tcPr>
          <w:p>
            <w:pPr>
              <w:spacing w:after="0"/>
              <w:rPr>
                <w:sz w:val="24"/>
                <w:szCs w:val="24"/>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Payment of, or reimbursement for, continued</w:t>
            </w:r>
          </w:p>
        </w:tc>
        <w:tc>
          <w:tcPr>
            <w:tcW w:w="3340" w:type="dxa"/>
            <w:vAlign w:val="bottom"/>
          </w:tcPr>
          <w:p>
            <w:pPr>
              <w:ind w:left="100"/>
              <w:spacing w:after="0"/>
              <w:rPr>
                <w:sz w:val="20"/>
                <w:szCs w:val="20"/>
                <w:color w:val="auto"/>
              </w:rPr>
            </w:pPr>
            <w:r>
              <w:rPr>
                <w:rFonts w:ascii="Arial" w:cs="Arial" w:eastAsia="Arial" w:hAnsi="Arial"/>
                <w:sz w:val="16"/>
                <w:szCs w:val="16"/>
                <w:color w:val="auto"/>
              </w:rPr>
              <w:t>Maximize stockholder value by retaining key</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healthcare coverage under COBRA for the</w:t>
            </w:r>
          </w:p>
        </w:tc>
        <w:tc>
          <w:tcPr>
            <w:tcW w:w="3340" w:type="dxa"/>
            <w:vAlign w:val="bottom"/>
          </w:tcPr>
          <w:p>
            <w:pPr>
              <w:ind w:left="100"/>
              <w:spacing w:after="0"/>
              <w:rPr>
                <w:sz w:val="20"/>
                <w:szCs w:val="20"/>
                <w:color w:val="auto"/>
              </w:rPr>
            </w:pPr>
            <w:r>
              <w:rPr>
                <w:rFonts w:ascii="Arial" w:cs="Arial" w:eastAsia="Arial" w:hAnsi="Arial"/>
                <w:sz w:val="16"/>
                <w:szCs w:val="16"/>
                <w:color w:val="auto"/>
              </w:rPr>
              <w:t>personnel during actual or rumored</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applicable severance period; and</w:t>
            </w:r>
          </w:p>
        </w:tc>
        <w:tc>
          <w:tcPr>
            <w:tcW w:w="3340" w:type="dxa"/>
            <w:vAlign w:val="bottom"/>
          </w:tcPr>
          <w:p>
            <w:pPr>
              <w:ind w:left="100"/>
              <w:spacing w:after="0"/>
              <w:rPr>
                <w:sz w:val="20"/>
                <w:szCs w:val="20"/>
                <w:color w:val="auto"/>
              </w:rPr>
            </w:pPr>
            <w:r>
              <w:rPr>
                <w:rFonts w:ascii="Arial" w:cs="Arial" w:eastAsia="Arial" w:hAnsi="Arial"/>
                <w:sz w:val="16"/>
                <w:szCs w:val="16"/>
                <w:color w:val="auto"/>
              </w:rPr>
              <w:t>transactions</w:t>
            </w:r>
          </w:p>
        </w:tc>
      </w:tr>
      <w:tr>
        <w:trPr>
          <w:trHeight w:val="351"/>
        </w:trPr>
        <w:tc>
          <w:tcPr>
            <w:tcW w:w="3900" w:type="dxa"/>
            <w:vAlign w:val="bottom"/>
            <w:tcBorders>
              <w:right w:val="single" w:sz="8" w:color="B2B2B2"/>
            </w:tcBorders>
          </w:tcPr>
          <w:p>
            <w:pPr>
              <w:spacing w:after="0"/>
              <w:rPr>
                <w:sz w:val="24"/>
                <w:szCs w:val="24"/>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In the event of a change of control, acceleration</w:t>
            </w:r>
          </w:p>
        </w:tc>
        <w:tc>
          <w:tcPr>
            <w:tcW w:w="3340" w:type="dxa"/>
            <w:vAlign w:val="bottom"/>
          </w:tcPr>
          <w:p>
            <w:pPr>
              <w:ind w:left="100"/>
              <w:spacing w:after="0"/>
              <w:rPr>
                <w:sz w:val="20"/>
                <w:szCs w:val="20"/>
                <w:color w:val="auto"/>
              </w:rPr>
            </w:pPr>
            <w:r>
              <w:rPr>
                <w:rFonts w:ascii="Arial" w:cs="Arial" w:eastAsia="Arial" w:hAnsi="Arial"/>
                <w:sz w:val="16"/>
                <w:szCs w:val="16"/>
                <w:color w:val="auto"/>
              </w:rPr>
              <w:t>Enhance the Company’s ability to</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ind w:left="200"/>
              <w:spacing w:after="0"/>
              <w:rPr>
                <w:sz w:val="20"/>
                <w:szCs w:val="20"/>
                <w:color w:val="auto"/>
              </w:rPr>
            </w:pPr>
            <w:r>
              <w:rPr>
                <w:rFonts w:ascii="Arial" w:cs="Arial" w:eastAsia="Arial" w:hAnsi="Arial"/>
                <w:sz w:val="16"/>
                <w:szCs w:val="16"/>
                <w:color w:val="auto"/>
              </w:rPr>
              <w:t>of vesting of time-based awards.</w:t>
            </w:r>
          </w:p>
        </w:tc>
        <w:tc>
          <w:tcPr>
            <w:tcW w:w="3340" w:type="dxa"/>
            <w:vAlign w:val="bottom"/>
          </w:tcPr>
          <w:p>
            <w:pPr>
              <w:ind w:left="100"/>
              <w:spacing w:after="0"/>
              <w:rPr>
                <w:sz w:val="20"/>
                <w:szCs w:val="20"/>
                <w:color w:val="auto"/>
              </w:rPr>
            </w:pPr>
            <w:r>
              <w:rPr>
                <w:rFonts w:ascii="Arial" w:cs="Arial" w:eastAsia="Arial" w:hAnsi="Arial"/>
                <w:sz w:val="16"/>
                <w:szCs w:val="16"/>
                <w:color w:val="auto"/>
              </w:rPr>
              <w:t>attract/retain key executives</w:t>
            </w:r>
          </w:p>
        </w:tc>
      </w:tr>
      <w:tr>
        <w:trPr>
          <w:trHeight w:val="351"/>
        </w:trPr>
        <w:tc>
          <w:tcPr>
            <w:tcW w:w="3900" w:type="dxa"/>
            <w:vAlign w:val="bottom"/>
            <w:tcBorders>
              <w:right w:val="single" w:sz="8" w:color="B2B2B2"/>
            </w:tcBorders>
          </w:tcPr>
          <w:p>
            <w:pPr>
              <w:spacing w:after="0"/>
              <w:rPr>
                <w:sz w:val="24"/>
                <w:szCs w:val="24"/>
                <w:color w:val="auto"/>
              </w:rPr>
            </w:pPr>
          </w:p>
        </w:tc>
        <w:tc>
          <w:tcPr>
            <w:tcW w:w="3780" w:type="dxa"/>
            <w:vAlign w:val="bottom"/>
            <w:tcBorders>
              <w:right w:val="single" w:sz="8" w:color="B2B2B2"/>
            </w:tcBorders>
          </w:tcPr>
          <w:p>
            <w:pPr>
              <w:spacing w:after="0"/>
              <w:rPr>
                <w:sz w:val="24"/>
                <w:szCs w:val="24"/>
                <w:color w:val="auto"/>
              </w:rPr>
            </w:pPr>
          </w:p>
        </w:tc>
        <w:tc>
          <w:tcPr>
            <w:tcW w:w="3340" w:type="dxa"/>
            <w:vAlign w:val="bottom"/>
          </w:tcPr>
          <w:p>
            <w:pPr>
              <w:ind w:left="100"/>
              <w:spacing w:after="0"/>
              <w:rPr>
                <w:sz w:val="20"/>
                <w:szCs w:val="20"/>
                <w:color w:val="auto"/>
              </w:rPr>
            </w:pPr>
            <w:r>
              <w:rPr>
                <w:rFonts w:ascii="Arial" w:cs="Arial" w:eastAsia="Arial" w:hAnsi="Arial"/>
                <w:sz w:val="16"/>
                <w:szCs w:val="16"/>
                <w:color w:val="auto"/>
              </w:rPr>
              <w:t>Pre-established severance benefits can also</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6"/>
                <w:szCs w:val="16"/>
                <w:color w:val="auto"/>
              </w:rPr>
              <w:t>limit one-off negotiations at the time of each</w:t>
            </w:r>
          </w:p>
        </w:tc>
      </w:tr>
      <w:tr>
        <w:trPr>
          <w:trHeight w:val="230"/>
        </w:trPr>
        <w:tc>
          <w:tcPr>
            <w:tcW w:w="3900" w:type="dxa"/>
            <w:vAlign w:val="bottom"/>
            <w:tcBorders>
              <w:right w:val="single" w:sz="8" w:color="B2B2B2"/>
            </w:tcBorders>
          </w:tcPr>
          <w:p>
            <w:pPr>
              <w:spacing w:after="0"/>
              <w:rPr>
                <w:sz w:val="19"/>
                <w:szCs w:val="19"/>
                <w:color w:val="auto"/>
              </w:rPr>
            </w:pPr>
          </w:p>
        </w:tc>
        <w:tc>
          <w:tcPr>
            <w:tcW w:w="3780" w:type="dxa"/>
            <w:vAlign w:val="bottom"/>
            <w:tcBorders>
              <w:right w:val="single" w:sz="8" w:color="B2B2B2"/>
            </w:tcBorders>
          </w:tcPr>
          <w:p>
            <w:pPr>
              <w:spacing w:after="0"/>
              <w:rPr>
                <w:sz w:val="19"/>
                <w:szCs w:val="19"/>
                <w:color w:val="auto"/>
              </w:rPr>
            </w:pPr>
          </w:p>
        </w:tc>
        <w:tc>
          <w:tcPr>
            <w:tcW w:w="3340" w:type="dxa"/>
            <w:vAlign w:val="bottom"/>
          </w:tcPr>
          <w:p>
            <w:pPr>
              <w:ind w:left="100"/>
              <w:spacing w:after="0"/>
              <w:rPr>
                <w:sz w:val="20"/>
                <w:szCs w:val="20"/>
                <w:color w:val="auto"/>
              </w:rPr>
            </w:pPr>
            <w:r>
              <w:rPr>
                <w:rFonts w:ascii="Arial" w:cs="Arial" w:eastAsia="Arial" w:hAnsi="Arial"/>
                <w:sz w:val="16"/>
                <w:szCs w:val="16"/>
                <w:color w:val="auto"/>
              </w:rPr>
              <w:t>executive termination</w:t>
            </w:r>
          </w:p>
        </w:tc>
      </w:tr>
      <w:tr>
        <w:trPr>
          <w:trHeight w:val="29"/>
        </w:trPr>
        <w:tc>
          <w:tcPr>
            <w:tcW w:w="3900" w:type="dxa"/>
            <w:vAlign w:val="bottom"/>
            <w:tcBorders>
              <w:right w:val="single" w:sz="8" w:color="B2B2B2"/>
            </w:tcBorders>
          </w:tcPr>
          <w:p>
            <w:pPr>
              <w:spacing w:after="0"/>
              <w:rPr>
                <w:sz w:val="2"/>
                <w:szCs w:val="2"/>
                <w:color w:val="auto"/>
              </w:rPr>
            </w:pPr>
          </w:p>
        </w:tc>
        <w:tc>
          <w:tcPr>
            <w:tcW w:w="3780" w:type="dxa"/>
            <w:vAlign w:val="bottom"/>
            <w:tcBorders>
              <w:right w:val="single" w:sz="8" w:color="B2B2B2"/>
            </w:tcBorders>
          </w:tcPr>
          <w:p>
            <w:pPr>
              <w:spacing w:after="0"/>
              <w:rPr>
                <w:sz w:val="2"/>
                <w:szCs w:val="2"/>
                <w:color w:val="auto"/>
              </w:rPr>
            </w:pPr>
          </w:p>
        </w:tc>
        <w:tc>
          <w:tcPr>
            <w:tcW w:w="3340" w:type="dxa"/>
            <w:vAlign w:val="bottom"/>
          </w:tcPr>
          <w:p>
            <w:pPr>
              <w:spacing w:after="0"/>
              <w:rPr>
                <w:sz w:val="2"/>
                <w:szCs w:val="2"/>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Key elements of our compensation governance for our Named Executive Officers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5280" w:type="dxa"/>
            <w:vAlign w:val="bottom"/>
            <w:tcBorders>
              <w:bottom w:val="single" w:sz="8" w:color="60BAFF"/>
            </w:tcBorders>
          </w:tcPr>
          <w:p>
            <w:pPr>
              <w:ind w:left="2160"/>
              <w:spacing w:after="0"/>
              <w:rPr>
                <w:sz w:val="20"/>
                <w:szCs w:val="20"/>
                <w:color w:val="auto"/>
              </w:rPr>
            </w:pPr>
            <w:r>
              <w:rPr>
                <w:rFonts w:ascii="Arial" w:cs="Arial" w:eastAsia="Arial" w:hAnsi="Arial"/>
                <w:sz w:val="14"/>
                <w:szCs w:val="14"/>
                <w:b w:val="1"/>
                <w:bCs w:val="1"/>
                <w:color w:val="60BAFF"/>
              </w:rPr>
              <w:t>WHAT WE DO</w:t>
            </w:r>
          </w:p>
        </w:tc>
        <w:tc>
          <w:tcPr>
            <w:tcW w:w="340" w:type="dxa"/>
            <w:vAlign w:val="bottom"/>
          </w:tcPr>
          <w:p>
            <w:pPr>
              <w:spacing w:after="0"/>
              <w:rPr>
                <w:sz w:val="17"/>
                <w:szCs w:val="17"/>
                <w:color w:val="auto"/>
              </w:rPr>
            </w:pPr>
          </w:p>
        </w:tc>
        <w:tc>
          <w:tcPr>
            <w:tcW w:w="280" w:type="dxa"/>
            <w:vAlign w:val="bottom"/>
            <w:tcBorders>
              <w:bottom w:val="single" w:sz="8" w:color="60BAFF"/>
            </w:tcBorders>
          </w:tcPr>
          <w:p>
            <w:pPr>
              <w:spacing w:after="0"/>
              <w:rPr>
                <w:sz w:val="17"/>
                <w:szCs w:val="17"/>
                <w:color w:val="auto"/>
              </w:rPr>
            </w:pPr>
          </w:p>
        </w:tc>
        <w:tc>
          <w:tcPr>
            <w:tcW w:w="5120" w:type="dxa"/>
            <w:vAlign w:val="bottom"/>
            <w:tcBorders>
              <w:bottom w:val="single" w:sz="8" w:color="60BAFF"/>
            </w:tcBorders>
          </w:tcPr>
          <w:p>
            <w:pPr>
              <w:ind w:left="1700"/>
              <w:spacing w:after="0"/>
              <w:rPr>
                <w:sz w:val="20"/>
                <w:szCs w:val="20"/>
                <w:color w:val="auto"/>
              </w:rPr>
            </w:pPr>
            <w:r>
              <w:rPr>
                <w:rFonts w:ascii="Arial" w:cs="Arial" w:eastAsia="Arial" w:hAnsi="Arial"/>
                <w:sz w:val="14"/>
                <w:szCs w:val="14"/>
                <w:b w:val="1"/>
                <w:bCs w:val="1"/>
                <w:color w:val="60BAFF"/>
              </w:rPr>
              <w:t>WHAT WE DON’T DO</w:t>
            </w:r>
          </w:p>
        </w:tc>
      </w:tr>
      <w:tr>
        <w:trPr>
          <w:trHeight w:val="203"/>
        </w:trPr>
        <w:tc>
          <w:tcPr>
            <w:tcW w:w="5280" w:type="dxa"/>
            <w:vAlign w:val="bottom"/>
          </w:tcPr>
          <w:p>
            <w:pPr>
              <w:ind w:left="100"/>
              <w:spacing w:after="0" w:line="184" w:lineRule="exact"/>
              <w:rPr>
                <w:sz w:val="20"/>
                <w:szCs w:val="20"/>
                <w:color w:val="auto"/>
              </w:rPr>
            </w:pPr>
            <w:r>
              <w:rPr>
                <w:rFonts w:ascii="MS PGothic" w:cs="MS PGothic" w:eastAsia="MS PGothic" w:hAnsi="MS PGothic"/>
                <w:sz w:val="16"/>
                <w:szCs w:val="16"/>
                <w:color w:val="77BC1F"/>
              </w:rPr>
              <w:t>✓</w:t>
            </w:r>
            <w:r>
              <w:rPr>
                <w:rFonts w:ascii="Arial" w:cs="Arial" w:eastAsia="Arial" w:hAnsi="Arial"/>
                <w:sz w:val="16"/>
                <w:szCs w:val="16"/>
                <w:color w:val="auto"/>
              </w:rPr>
              <w:t xml:space="preserve"> Stock Ownership Principles</w:t>
            </w:r>
          </w:p>
        </w:tc>
        <w:tc>
          <w:tcPr>
            <w:tcW w:w="340" w:type="dxa"/>
            <w:vAlign w:val="bottom"/>
          </w:tcPr>
          <w:p>
            <w:pPr>
              <w:spacing w:after="0"/>
              <w:rPr>
                <w:sz w:val="17"/>
                <w:szCs w:val="17"/>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77BC1F"/>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No Employment Agreements</w:t>
            </w:r>
          </w:p>
        </w:tc>
      </w:tr>
      <w:tr>
        <w:trPr>
          <w:trHeight w:val="229"/>
        </w:trPr>
        <w:tc>
          <w:tcPr>
            <w:tcW w:w="5280" w:type="dxa"/>
            <w:vAlign w:val="bottom"/>
          </w:tcPr>
          <w:p>
            <w:pPr>
              <w:ind w:left="100"/>
              <w:spacing w:after="0" w:line="184" w:lineRule="exact"/>
              <w:rPr>
                <w:sz w:val="20"/>
                <w:szCs w:val="20"/>
                <w:color w:val="auto"/>
              </w:rPr>
            </w:pPr>
            <w:r>
              <w:rPr>
                <w:rFonts w:ascii="MS PGothic" w:cs="MS PGothic" w:eastAsia="MS PGothic" w:hAnsi="MS PGothic"/>
                <w:sz w:val="16"/>
                <w:szCs w:val="16"/>
                <w:color w:val="77BC1F"/>
              </w:rPr>
              <w:t>✓</w:t>
            </w:r>
            <w:r>
              <w:rPr>
                <w:rFonts w:ascii="Arial" w:cs="Arial" w:eastAsia="Arial" w:hAnsi="Arial"/>
                <w:sz w:val="16"/>
                <w:szCs w:val="16"/>
                <w:color w:val="auto"/>
              </w:rPr>
              <w:t xml:space="preserve"> Use Independent Compensation Consultant</w:t>
            </w:r>
          </w:p>
        </w:tc>
        <w:tc>
          <w:tcPr>
            <w:tcW w:w="340" w:type="dxa"/>
            <w:vAlign w:val="bottom"/>
          </w:tcPr>
          <w:p>
            <w:pPr>
              <w:spacing w:after="0"/>
              <w:rPr>
                <w:sz w:val="19"/>
                <w:szCs w:val="19"/>
                <w:color w:val="auto"/>
              </w:rPr>
            </w:pPr>
          </w:p>
        </w:tc>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77BC1F"/>
              </w:rPr>
              <w:t xml:space="preserve">× </w:t>
            </w:r>
            <w:r>
              <w:rPr>
                <w:rFonts w:ascii="Arial" w:cs="Arial" w:eastAsia="Arial" w:hAnsi="Arial"/>
                <w:sz w:val="16"/>
                <w:szCs w:val="16"/>
                <w:color w:val="000000"/>
              </w:rPr>
              <w:t>No Excise Tax Gross-Ups on Change in Control</w:t>
            </w:r>
          </w:p>
        </w:tc>
      </w:tr>
      <w:tr>
        <w:trPr>
          <w:trHeight w:val="254"/>
        </w:trPr>
        <w:tc>
          <w:tcPr>
            <w:tcW w:w="5280" w:type="dxa"/>
            <w:vAlign w:val="bottom"/>
          </w:tcPr>
          <w:p>
            <w:pPr>
              <w:ind w:left="140"/>
              <w:spacing w:after="0" w:line="184" w:lineRule="exact"/>
              <w:rPr>
                <w:sz w:val="20"/>
                <w:szCs w:val="20"/>
                <w:color w:val="auto"/>
              </w:rPr>
            </w:pPr>
            <w:r>
              <w:rPr>
                <w:rFonts w:ascii="MS PGothic" w:cs="MS PGothic" w:eastAsia="MS PGothic" w:hAnsi="MS PGothic"/>
                <w:sz w:val="16"/>
                <w:szCs w:val="16"/>
                <w:color w:val="77BC1F"/>
              </w:rPr>
              <w:t>✓</w:t>
            </w:r>
            <w:r>
              <w:rPr>
                <w:rFonts w:ascii="Arial" w:cs="Arial" w:eastAsia="Arial" w:hAnsi="Arial"/>
                <w:sz w:val="16"/>
                <w:szCs w:val="16"/>
                <w:color w:val="auto"/>
              </w:rPr>
              <w:t xml:space="preserve"> Anti-hedging policy, applicable to directors and employees</w:t>
            </w:r>
          </w:p>
        </w:tc>
        <w:tc>
          <w:tcPr>
            <w:tcW w:w="62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i w:val="1"/>
                <w:iCs w:val="1"/>
                <w:color w:val="77BC1F"/>
              </w:rPr>
              <w:t>×</w:t>
            </w:r>
          </w:p>
        </w:tc>
        <w:tc>
          <w:tcPr>
            <w:tcW w:w="5120" w:type="dxa"/>
            <w:vAlign w:val="bottom"/>
          </w:tcPr>
          <w:p>
            <w:pPr>
              <w:ind w:left="80"/>
              <w:spacing w:after="0"/>
              <w:rPr>
                <w:sz w:val="20"/>
                <w:szCs w:val="20"/>
                <w:color w:val="auto"/>
              </w:rPr>
            </w:pPr>
            <w:r>
              <w:rPr>
                <w:rFonts w:ascii="Arial" w:cs="Arial" w:eastAsia="Arial" w:hAnsi="Arial"/>
                <w:sz w:val="16"/>
                <w:szCs w:val="16"/>
                <w:color w:val="auto"/>
              </w:rPr>
              <w:t>No Excessive Perquisites</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right="100"/>
        <w:spacing w:after="0" w:line="339" w:lineRule="auto"/>
        <w:rPr>
          <w:sz w:val="20"/>
          <w:szCs w:val="20"/>
          <w:color w:val="auto"/>
        </w:rPr>
      </w:pPr>
      <w:r>
        <w:rPr>
          <w:rFonts w:ascii="Arial" w:cs="Arial" w:eastAsia="Arial" w:hAnsi="Arial"/>
          <w:sz w:val="16"/>
          <w:szCs w:val="16"/>
          <w:color w:val="auto"/>
        </w:rPr>
        <w:t>Please see “Named Executive Officer Compensation Tables” and the related narrative disclosure for more information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666666"/>
        </w:rPr>
        <w:t>PROXY SUMMARY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Corporate Governance Highlights—Reasonable Governance with A Controlling Stockholder</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Key elements of our governance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1508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50876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43" w:lineRule="exact"/>
        <w:rPr>
          <w:sz w:val="20"/>
          <w:szCs w:val="20"/>
          <w:color w:val="auto"/>
        </w:rPr>
      </w:pPr>
    </w:p>
    <w:p>
      <w:pPr>
        <w:ind w:left="120"/>
        <w:spacing w:after="0" w:line="339" w:lineRule="auto"/>
        <w:rPr>
          <w:sz w:val="20"/>
          <w:szCs w:val="20"/>
          <w:color w:val="auto"/>
        </w:rPr>
      </w:pPr>
      <w:r>
        <w:rPr>
          <w:rFonts w:ascii="Arial" w:cs="Arial" w:eastAsia="Arial" w:hAnsi="Arial"/>
          <w:sz w:val="16"/>
          <w:szCs w:val="16"/>
          <w:color w:val="auto"/>
        </w:rPr>
        <w:t>Executive sessions of non-management directors and at least an annual executive session of independent directors</w:t>
      </w:r>
    </w:p>
    <w:p>
      <w:pPr>
        <w:spacing w:after="0" w:line="47" w:lineRule="exact"/>
        <w:rPr>
          <w:sz w:val="20"/>
          <w:szCs w:val="20"/>
          <w:color w:val="auto"/>
        </w:rPr>
      </w:pPr>
    </w:p>
    <w:p>
      <w:pPr>
        <w:ind w:left="120" w:right="80"/>
        <w:spacing w:after="0" w:line="339" w:lineRule="auto"/>
        <w:rPr>
          <w:sz w:val="20"/>
          <w:szCs w:val="20"/>
          <w:color w:val="auto"/>
        </w:rPr>
      </w:pPr>
      <w:r>
        <w:rPr>
          <w:rFonts w:ascii="Arial" w:cs="Arial" w:eastAsia="Arial" w:hAnsi="Arial"/>
          <w:sz w:val="16"/>
          <w:szCs w:val="16"/>
          <w:color w:val="auto"/>
        </w:rPr>
        <w:t>Beginning in 2021, annual Board and Committee self-evaluations by an outside facilitator</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Strong Board diversity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Detailed strategy and risk oversight by Board and Committees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director overboarding</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Regular evaluation of director compensation</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Director onboarding program and continuing director education</w:t>
      </w:r>
    </w:p>
    <w:p>
      <w:pPr>
        <w:spacing w:after="0" w:line="383" w:lineRule="exact"/>
        <w:rPr>
          <w:sz w:val="20"/>
          <w:szCs w:val="20"/>
          <w:color w:val="auto"/>
        </w:rPr>
      </w:pPr>
    </w:p>
    <w:p>
      <w:pPr>
        <w:ind w:right="480"/>
        <w:spacing w:after="0" w:line="440" w:lineRule="auto"/>
        <w:rPr>
          <w:sz w:val="20"/>
          <w:szCs w:val="20"/>
          <w:color w:val="auto"/>
        </w:rPr>
      </w:pPr>
      <w:r>
        <w:rPr>
          <w:rFonts w:ascii="Arial" w:cs="Arial" w:eastAsia="Arial" w:hAnsi="Arial"/>
          <w:sz w:val="16"/>
          <w:szCs w:val="16"/>
          <w:color w:val="auto"/>
        </w:rPr>
        <w:t>Periodic review of Committee charters and key governance policies Commitment to fostering a diverse and inclusive workplace</w:t>
      </w:r>
    </w:p>
    <w:p>
      <w:pPr>
        <w:ind w:right="400"/>
        <w:spacing w:after="0" w:line="339" w:lineRule="auto"/>
        <w:rPr>
          <w:sz w:val="20"/>
          <w:szCs w:val="20"/>
          <w:color w:val="auto"/>
        </w:rPr>
      </w:pPr>
      <w:r>
        <w:rPr>
          <w:rFonts w:ascii="Arial" w:cs="Arial" w:eastAsia="Arial" w:hAnsi="Arial"/>
          <w:sz w:val="16"/>
          <w:szCs w:val="16"/>
          <w:color w:val="auto"/>
        </w:rPr>
        <w:t>Significant engagement with key employees across functional areas, including senior management</w:t>
      </w:r>
    </w:p>
    <w:p>
      <w:pPr>
        <w:spacing w:after="0" w:line="200" w:lineRule="exact"/>
        <w:rPr>
          <w:sz w:val="20"/>
          <w:szCs w:val="20"/>
          <w:color w:val="auto"/>
        </w:rPr>
      </w:pPr>
    </w:p>
    <w:p>
      <w:pPr>
        <w:sectPr>
          <w:pgSz w:w="11900" w:h="16838" w:orient="portrait"/>
          <w:cols w:equalWidth="0" w:num="2">
            <w:col w:w="5300" w:space="540"/>
            <w:col w:w="5300"/>
          </w:cols>
          <w:pgMar w:left="320" w:top="455" w:right="43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Environmental, Social, and Governance (ESG)</w:t>
      </w:r>
    </w:p>
    <w:p>
      <w:pPr>
        <w:spacing w:after="0" w:line="249" w:lineRule="exact"/>
        <w:rPr>
          <w:sz w:val="20"/>
          <w:szCs w:val="20"/>
          <w:color w:val="auto"/>
        </w:rPr>
      </w:pPr>
    </w:p>
    <w:p>
      <w:pPr>
        <w:ind w:left="120" w:right="180"/>
        <w:spacing w:after="0" w:line="312" w:lineRule="auto"/>
        <w:rPr>
          <w:sz w:val="20"/>
          <w:szCs w:val="20"/>
          <w:color w:val="auto"/>
        </w:rPr>
      </w:pPr>
      <w:r>
        <w:rPr>
          <w:rFonts w:ascii="Arial" w:cs="Arial" w:eastAsia="Arial" w:hAnsi="Arial"/>
          <w:sz w:val="16"/>
          <w:szCs w:val="16"/>
          <w:color w:val="auto"/>
        </w:rPr>
        <w:t>NerdWallet recognizes the importance of operating our business in a responsible and socially-conscious manner that is aligned with our vision: a world where everyone makes financial decisions with confidence. At the same time, we believe this impact starts within our own four walls; to that end, supporting our Nerds and bringing accountability and integrity to all of our business practices are ESG priorities. As a newly public company, we’re excited to expand our social impact—which has always been at the heart of our company vision—through the implementation of our new ESG program.</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Materiality Assessment</w:t>
      </w:r>
    </w:p>
    <w:p>
      <w:pPr>
        <w:spacing w:after="0" w:line="225" w:lineRule="exact"/>
        <w:rPr>
          <w:sz w:val="20"/>
          <w:szCs w:val="20"/>
          <w:color w:val="auto"/>
        </w:rPr>
      </w:pPr>
    </w:p>
    <w:p>
      <w:pPr>
        <w:ind w:left="120" w:right="120"/>
        <w:spacing w:after="0" w:line="312" w:lineRule="auto"/>
        <w:rPr>
          <w:sz w:val="20"/>
          <w:szCs w:val="20"/>
          <w:color w:val="auto"/>
        </w:rPr>
      </w:pPr>
      <w:r>
        <w:rPr>
          <w:rFonts w:ascii="Arial" w:cs="Arial" w:eastAsia="Arial" w:hAnsi="Arial"/>
          <w:sz w:val="16"/>
          <w:szCs w:val="16"/>
          <w:color w:val="auto"/>
        </w:rPr>
        <w:t>To provide focus for our ESG program’s first year, NerdWallet recently completed its inaugural ESG materiality assessment, through which we solicited feedback from a variety of key internal and external stakeholders. The results of this effort have allowed us to identify key ESG value drivers important to our company and to our external stakeholders. As an “internet and media services” company with a distributed workforce and a limited operational footprint, we identified key social topics and governance topics to focus on this year.</w:t>
      </w:r>
    </w:p>
    <w:p>
      <w:pPr>
        <w:spacing w:after="0" w:line="177" w:lineRule="exact"/>
        <w:rPr>
          <w:sz w:val="20"/>
          <w:szCs w:val="20"/>
          <w:color w:val="auto"/>
        </w:rPr>
      </w:pPr>
    </w:p>
    <w:p>
      <w:pPr>
        <w:ind w:left="120" w:right="180"/>
        <w:spacing w:after="0" w:line="339" w:lineRule="auto"/>
        <w:rPr>
          <w:sz w:val="20"/>
          <w:szCs w:val="20"/>
          <w:color w:val="auto"/>
        </w:rPr>
      </w:pPr>
      <w:r>
        <w:rPr>
          <w:rFonts w:ascii="Arial" w:cs="Arial" w:eastAsia="Arial" w:hAnsi="Arial"/>
          <w:sz w:val="16"/>
          <w:szCs w:val="16"/>
          <w:color w:val="auto"/>
        </w:rPr>
        <w:t xml:space="preserve">Based on this materiality assessment, as well as the areas in which we believe we can make the greatest impact, we’ve chosen to prioritize ESG efforts in three key areas: </w:t>
      </w:r>
      <w:r>
        <w:rPr>
          <w:rFonts w:ascii="Arial" w:cs="Arial" w:eastAsia="Arial" w:hAnsi="Arial"/>
          <w:sz w:val="16"/>
          <w:szCs w:val="16"/>
          <w:i w:val="1"/>
          <w:iCs w:val="1"/>
          <w:color w:val="auto"/>
        </w:rPr>
        <w:t>Achieving Our Vision</w:t>
      </w:r>
      <w:r>
        <w:rPr>
          <w:rFonts w:ascii="Arial" w:cs="Arial" w:eastAsia="Arial" w:hAnsi="Arial"/>
          <w:sz w:val="16"/>
          <w:szCs w:val="16"/>
          <w:color w:val="auto"/>
        </w:rPr>
        <w:t xml:space="preserve">, </w:t>
      </w:r>
      <w:r>
        <w:rPr>
          <w:rFonts w:ascii="Arial" w:cs="Arial" w:eastAsia="Arial" w:hAnsi="Arial"/>
          <w:sz w:val="16"/>
          <w:szCs w:val="16"/>
          <w:i w:val="1"/>
          <w:iCs w:val="1"/>
          <w:color w:val="auto"/>
        </w:rPr>
        <w:t>Investing in Our Nerds</w:t>
      </w:r>
      <w:r>
        <w:rPr>
          <w:rFonts w:ascii="Arial" w:cs="Arial" w:eastAsia="Arial" w:hAnsi="Arial"/>
          <w:sz w:val="16"/>
          <w:szCs w:val="16"/>
          <w:color w:val="auto"/>
        </w:rPr>
        <w:t xml:space="preserve">, and </w:t>
      </w:r>
      <w:r>
        <w:rPr>
          <w:rFonts w:ascii="Arial" w:cs="Arial" w:eastAsia="Arial" w:hAnsi="Arial"/>
          <w:sz w:val="16"/>
          <w:szCs w:val="16"/>
          <w:i w:val="1"/>
          <w:iCs w:val="1"/>
          <w:color w:val="auto"/>
        </w:rPr>
        <w:t>Building a Socially Responsible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20"/>
        <w:spacing w:after="0"/>
        <w:rPr>
          <w:sz w:val="20"/>
          <w:szCs w:val="20"/>
          <w:color w:val="auto"/>
        </w:rPr>
      </w:pPr>
      <w:r>
        <w:rPr>
          <w:rFonts w:ascii="Arial" w:cs="Arial" w:eastAsia="Arial" w:hAnsi="Arial"/>
          <w:sz w:val="16"/>
          <w:szCs w:val="16"/>
          <w:b w:val="1"/>
          <w:bCs w:val="1"/>
          <w:color w:val="auto"/>
        </w:rPr>
        <w:t>9</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106680</wp:posOffset>
            </wp:positionV>
            <wp:extent cx="5186045" cy="3360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8604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ESG Priorities</w:t>
      </w:r>
    </w:p>
    <w:p>
      <w:pPr>
        <w:spacing w:after="0" w:line="225" w:lineRule="exact"/>
        <w:rPr>
          <w:sz w:val="20"/>
          <w:szCs w:val="20"/>
          <w:color w:val="auto"/>
        </w:rPr>
      </w:pPr>
    </w:p>
    <w:p>
      <w:pPr>
        <w:ind w:left="120" w:right="140"/>
        <w:spacing w:after="0" w:line="319" w:lineRule="auto"/>
        <w:rPr>
          <w:sz w:val="20"/>
          <w:szCs w:val="20"/>
          <w:color w:val="auto"/>
        </w:rPr>
      </w:pPr>
      <w:r>
        <w:rPr>
          <w:rFonts w:ascii="Arial" w:cs="Arial" w:eastAsia="Arial" w:hAnsi="Arial"/>
          <w:sz w:val="16"/>
          <w:szCs w:val="16"/>
          <w:i w:val="1"/>
          <w:iCs w:val="1"/>
          <w:color w:val="auto"/>
        </w:rPr>
        <w:t>Achieving Our Vision</w:t>
      </w:r>
      <w:r>
        <w:rPr>
          <w:rFonts w:ascii="Arial" w:cs="Arial" w:eastAsia="Arial" w:hAnsi="Arial"/>
          <w:sz w:val="16"/>
          <w:szCs w:val="16"/>
          <w:color w:val="auto"/>
        </w:rPr>
        <w:t>—By providing access to trustworthy and knowledgeable financial guidance, we help improve the financial well-being of consumers</w:t>
      </w:r>
      <w:r>
        <w:rPr>
          <w:rFonts w:ascii="Arial" w:cs="Arial" w:eastAsia="Arial" w:hAnsi="Arial"/>
          <w:sz w:val="16"/>
          <w:szCs w:val="16"/>
          <w:i w:val="1"/>
          <w:iCs w:val="1"/>
          <w:color w:val="auto"/>
        </w:rPr>
        <w:t xml:space="preserve"> </w:t>
      </w:r>
      <w:r>
        <w:rPr>
          <w:rFonts w:ascii="Arial" w:cs="Arial" w:eastAsia="Arial" w:hAnsi="Arial"/>
          <w:sz w:val="16"/>
          <w:szCs w:val="16"/>
          <w:color w:val="auto"/>
        </w:rPr>
        <w:t>and SMBs. Plus, we are building on this vision through our Corporate Social Responsibility (CSR) platform to more effectively support those who have been traditionally locked out of the financial system.</w:t>
      </w:r>
    </w:p>
    <w:p>
      <w:pPr>
        <w:spacing w:after="0" w:line="76" w:lineRule="exact"/>
        <w:rPr>
          <w:sz w:val="20"/>
          <w:szCs w:val="20"/>
          <w:color w:val="auto"/>
        </w:rPr>
      </w:pPr>
    </w:p>
    <w:p>
      <w:pPr>
        <w:ind w:left="540" w:hanging="316"/>
        <w:spacing w:after="0" w:line="30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Empowering Consumers &amp; SMBs: NerdWallet exists to help consumers and SMBs make better financial decisions, find better products and get back to living their best lives. We provide trustworthy financial guidance to millions of consumers and SMBs every month, helping them with a variety of financial decisions, from navigating the extension of student loan forbearance to finding an SMB loan to getting started with ESG investing and more.</w:t>
      </w:r>
    </w:p>
    <w:p>
      <w:pPr>
        <w:spacing w:after="0" w:line="293" w:lineRule="exact"/>
        <w:rPr>
          <w:rFonts w:ascii="Arial" w:cs="Arial" w:eastAsia="Arial" w:hAnsi="Arial"/>
          <w:sz w:val="16"/>
          <w:szCs w:val="16"/>
          <w:color w:val="auto"/>
        </w:rPr>
      </w:pPr>
    </w:p>
    <w:p>
      <w:pPr>
        <w:ind w:left="540" w:right="80" w:hanging="316"/>
        <w:spacing w:after="0" w:line="29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Helping Unlock Equal Economic Opportunity: Our CSR program champions the work of community development credit unions (CDCUs) that serve low-income communities by providing access to equitable financial products and services. We do this by both banking our own dollars with CDCUs and encouraging other companies to do the same through our “Movement to Advance Financial Equality” campaign; by directly supporting day-to-day operations of CDCUs with minority depository institution (MDI) designations via grants; and by offering pro bono support for social impact projects that advance this initiative.</w:t>
      </w:r>
    </w:p>
    <w:p>
      <w:pPr>
        <w:spacing w:after="0" w:line="181" w:lineRule="exact"/>
        <w:rPr>
          <w:sz w:val="20"/>
          <w:szCs w:val="20"/>
          <w:color w:val="auto"/>
        </w:rPr>
      </w:pPr>
    </w:p>
    <w:p>
      <w:pPr>
        <w:ind w:left="120" w:right="220"/>
        <w:spacing w:after="0" w:line="339" w:lineRule="auto"/>
        <w:rPr>
          <w:sz w:val="20"/>
          <w:szCs w:val="20"/>
          <w:color w:val="auto"/>
        </w:rPr>
      </w:pPr>
      <w:r>
        <w:rPr>
          <w:rFonts w:ascii="Arial" w:cs="Arial" w:eastAsia="Arial" w:hAnsi="Arial"/>
          <w:sz w:val="16"/>
          <w:szCs w:val="16"/>
          <w:i w:val="1"/>
          <w:iCs w:val="1"/>
          <w:color w:val="auto"/>
        </w:rPr>
        <w:t>Investing in Our Nerds—</w:t>
      </w:r>
      <w:r>
        <w:rPr>
          <w:rFonts w:ascii="Arial" w:cs="Arial" w:eastAsia="Arial" w:hAnsi="Arial"/>
          <w:sz w:val="16"/>
          <w:szCs w:val="16"/>
          <w:color w:val="auto"/>
        </w:rPr>
        <w:t>Our Nerds are our most important asset, and efforts to attract, retain and develop them, as well as to mobilize them to engage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larger community, are integral to our ESG program.</w:t>
      </w:r>
    </w:p>
    <w:p>
      <w:pPr>
        <w:spacing w:after="0" w:line="61" w:lineRule="exact"/>
        <w:rPr>
          <w:sz w:val="20"/>
          <w:szCs w:val="20"/>
          <w:color w:val="auto"/>
        </w:rPr>
      </w:pPr>
    </w:p>
    <w:p>
      <w:pPr>
        <w:ind w:left="540" w:right="40" w:hanging="316"/>
        <w:spacing w:after="0" w:line="29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Diversity, Equity &amp; Inclusion (DEI): DEI efforts are a priority, and we view progress in this area as critical to our success as a business. NerdWallet aspires to provide consumers and SMBs with the confidence they need to live their best lives—however they identify. For our Nerds, this means fostering an inclusive culture that allows them to grow their skills, contribute and thrive with the confidence of belonging. We have several programs dedicated to building a diverse and inclusive environment, including a remote workforce talent acquisition strategy designed to increase diverse candidates and bi-annual pay equity reviews facilitated by a third-party platform,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hanging="741"/>
        <w:spacing w:after="0"/>
        <w:tabs>
          <w:tab w:leader="none" w:pos="10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PROXY SUMMARY</w:t>
      </w:r>
    </w:p>
    <w:p>
      <w:pPr>
        <w:spacing w:after="0" w:line="167" w:lineRule="exact"/>
        <w:rPr>
          <w:sz w:val="20"/>
          <w:szCs w:val="20"/>
          <w:color w:val="auto"/>
        </w:rPr>
      </w:pPr>
    </w:p>
    <w:p>
      <w:pPr>
        <w:ind w:left="540" w:right="60" w:hanging="316"/>
        <w:spacing w:after="0" w:line="295"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 Recruitment &amp; Development: We encourage our employees to seek out professional development opportunities and, to that end, provide them with a yearly education stipend. In addition, we provide in-house opportunities for career development and training. To help us maintain an engaged and productive workforce, we undertake bi-annual review cycles. We also regularly solicit feedback via employee engagement surveys to assess employee morale.</w:t>
      </w:r>
    </w:p>
    <w:p>
      <w:pPr>
        <w:spacing w:after="0" w:line="80" w:lineRule="exact"/>
        <w:rPr>
          <w:rFonts w:ascii="Arial" w:cs="Arial" w:eastAsia="Arial" w:hAnsi="Arial"/>
          <w:sz w:val="16"/>
          <w:szCs w:val="16"/>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Community Engagement: Community engagement is core to our employee experience, and we encourage employee participation in a variety of</w:t>
      </w:r>
    </w:p>
    <w:p>
      <w:pPr>
        <w:spacing w:after="0" w:line="32" w:lineRule="exact"/>
        <w:rPr>
          <w:rFonts w:ascii="Arial" w:cs="Arial" w:eastAsia="Arial" w:hAnsi="Arial"/>
          <w:sz w:val="16"/>
          <w:szCs w:val="16"/>
          <w:color w:val="auto"/>
        </w:rPr>
      </w:pPr>
    </w:p>
    <w:p>
      <w:pPr>
        <w:ind w:left="540" w:right="300"/>
        <w:spacing w:after="0" w:line="321" w:lineRule="auto"/>
        <w:rPr>
          <w:rFonts w:ascii="Arial" w:cs="Arial" w:eastAsia="Arial" w:hAnsi="Arial"/>
          <w:sz w:val="16"/>
          <w:szCs w:val="16"/>
          <w:color w:val="auto"/>
        </w:rPr>
      </w:pPr>
      <w:r>
        <w:rPr>
          <w:rFonts w:ascii="Arial" w:cs="Arial" w:eastAsia="Arial" w:hAnsi="Arial"/>
          <w:sz w:val="16"/>
          <w:szCs w:val="16"/>
          <w:color w:val="auto"/>
        </w:rPr>
        <w:t>ways: We offer 8 hours off every quarter for volunteering, two company-wide activism days every year and a charitable donation match program through which we match up to $1,000 of employee donations per calendar year.</w:t>
      </w:r>
    </w:p>
    <w:p>
      <w:pPr>
        <w:spacing w:after="0" w:line="156" w:lineRule="exact"/>
        <w:rPr>
          <w:sz w:val="20"/>
          <w:szCs w:val="20"/>
          <w:color w:val="auto"/>
        </w:rPr>
      </w:pPr>
    </w:p>
    <w:p>
      <w:pPr>
        <w:ind w:left="120" w:right="660"/>
        <w:spacing w:after="0" w:line="339" w:lineRule="auto"/>
        <w:rPr>
          <w:sz w:val="20"/>
          <w:szCs w:val="20"/>
          <w:color w:val="auto"/>
        </w:rPr>
      </w:pPr>
      <w:r>
        <w:rPr>
          <w:rFonts w:ascii="Arial" w:cs="Arial" w:eastAsia="Arial" w:hAnsi="Arial"/>
          <w:sz w:val="16"/>
          <w:szCs w:val="16"/>
          <w:i w:val="1"/>
          <w:iCs w:val="1"/>
          <w:color w:val="auto"/>
        </w:rPr>
        <w:t>Building a Socially Responsible Business</w:t>
      </w:r>
      <w:r>
        <w:rPr>
          <w:rFonts w:ascii="Arial" w:cs="Arial" w:eastAsia="Arial" w:hAnsi="Arial"/>
          <w:sz w:val="16"/>
          <w:szCs w:val="16"/>
          <w:color w:val="auto"/>
        </w:rPr>
        <w:t>—Protecting consumers, as well as our Nerds, and staying accountable to our standards of conduct are</w:t>
      </w:r>
      <w:r>
        <w:rPr>
          <w:rFonts w:ascii="Arial" w:cs="Arial" w:eastAsia="Arial" w:hAnsi="Arial"/>
          <w:sz w:val="16"/>
          <w:szCs w:val="16"/>
          <w:i w:val="1"/>
          <w:iCs w:val="1"/>
          <w:color w:val="auto"/>
        </w:rPr>
        <w:t xml:space="preserve"> </w:t>
      </w:r>
      <w:r>
        <w:rPr>
          <w:rFonts w:ascii="Arial" w:cs="Arial" w:eastAsia="Arial" w:hAnsi="Arial"/>
          <w:sz w:val="16"/>
          <w:szCs w:val="16"/>
          <w:color w:val="auto"/>
        </w:rPr>
        <w:t>paramount to the success of our ESG program.</w:t>
      </w:r>
    </w:p>
    <w:p>
      <w:pPr>
        <w:spacing w:after="0" w:line="61" w:lineRule="exact"/>
        <w:rPr>
          <w:sz w:val="20"/>
          <w:szCs w:val="20"/>
          <w:color w:val="auto"/>
        </w:rPr>
      </w:pPr>
    </w:p>
    <w:p>
      <w:pPr>
        <w:ind w:left="540" w:right="280" w:hanging="316"/>
        <w:spacing w:after="0" w:line="29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Business Ethics: We have adopted a code of business conduct that applies to our directors, officers and employees, including our principal executive officer, principal financial officer, principal accounting officer and persons performing similar functions. In addition, we intend to post on our website all disclosures that are required by law or the listing standards of Nasdaq concerning any amendments to, or waivers from, any provision of the code of business conduct.</w:t>
      </w:r>
    </w:p>
    <w:p>
      <w:pPr>
        <w:spacing w:after="0" w:line="80" w:lineRule="exact"/>
        <w:rPr>
          <w:rFonts w:ascii="Arial" w:cs="Arial" w:eastAsia="Arial" w:hAnsi="Arial"/>
          <w:sz w:val="16"/>
          <w:szCs w:val="16"/>
          <w:color w:val="auto"/>
        </w:rPr>
      </w:pPr>
    </w:p>
    <w:p>
      <w:pPr>
        <w:ind w:left="540" w:right="140" w:hanging="316"/>
        <w:spacing w:after="0" w:line="29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Editorial Integrity: We build and establish trust by offering guidance that is credible, consistent and grounded in our consumer-first values. Our editorial team is made up of writers and editors who have worked at publications including </w:t>
      </w:r>
      <w:r>
        <w:rPr>
          <w:rFonts w:ascii="Arial" w:cs="Arial" w:eastAsia="Arial" w:hAnsi="Arial"/>
          <w:sz w:val="16"/>
          <w:szCs w:val="16"/>
          <w:i w:val="1"/>
          <w:iCs w:val="1"/>
          <w:color w:val="auto"/>
        </w:rPr>
        <w:t>Bloomberg</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are deeply knowledgeable about personal finance. They maintain editorial independence from our business teams and do not recommend products based on business relationships.</w:t>
      </w:r>
    </w:p>
    <w:p>
      <w:pPr>
        <w:spacing w:after="0" w:line="80" w:lineRule="exact"/>
        <w:rPr>
          <w:rFonts w:ascii="Arial" w:cs="Arial" w:eastAsia="Arial" w:hAnsi="Arial"/>
          <w:sz w:val="16"/>
          <w:szCs w:val="16"/>
          <w:color w:val="auto"/>
        </w:rPr>
      </w:pPr>
    </w:p>
    <w:p>
      <w:pPr>
        <w:ind w:left="540" w:right="20" w:hanging="316"/>
        <w:spacing w:after="0" w:line="29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Responsible Marketing: We develop marketing materials that clearly and honestly communicate the value of our products and services and we consistently aim to improve the inclusivity of our marketing materials to ensure they are reflective of the general diversity of the U.S. population (e.g. race, gender, and sexual orientation and identity). Our focus in this area informs a variety of marketing decisions, including the actors and directors we work with, as well as the vendors we hire.</w:t>
      </w:r>
    </w:p>
    <w:p>
      <w:pPr>
        <w:spacing w:after="0" w:line="80" w:lineRule="exact"/>
        <w:rPr>
          <w:rFonts w:ascii="Arial" w:cs="Arial" w:eastAsia="Arial" w:hAnsi="Arial"/>
          <w:sz w:val="16"/>
          <w:szCs w:val="16"/>
          <w:color w:val="auto"/>
        </w:rPr>
      </w:pPr>
    </w:p>
    <w:p>
      <w:pPr>
        <w:ind w:left="540" w:right="160" w:hanging="316"/>
        <w:spacing w:after="0" w:line="295"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Cybersecurity and Data Privacy: Cybersecurity and data privacy are critical to maintaining customer trust and retention. We align ourselves with ISO 27001 standards to ensure we comply with best practices and partner with industry experts to keep consumer data secure. As we continue to innovate to meet the needs of consumers and SMBs, we use an agile methodology and secure software development lifecycle to reduce the possibility for code vulnerabilities.</w:t>
      </w:r>
    </w:p>
    <w:p>
      <w:pPr>
        <w:spacing w:after="0" w:line="80" w:lineRule="exact"/>
        <w:rPr>
          <w:rFonts w:ascii="Arial" w:cs="Arial" w:eastAsia="Arial" w:hAnsi="Arial"/>
          <w:sz w:val="16"/>
          <w:szCs w:val="16"/>
          <w:color w:val="auto"/>
        </w:rPr>
      </w:pPr>
    </w:p>
    <w:p>
      <w:pPr>
        <w:ind w:left="540" w:right="60" w:hanging="316"/>
        <w:spacing w:after="0" w:line="30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Environmental Considerations: We recognize the importance of climate change and the heightened interest in companies’ environmental footprints. As we employ a geographically distributed workforce with flexible work from home policies, we understand our operational footprint to be minimal. As we evolve our environmental program and strategy, we look forward to sharing our learnings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702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PROXY SUMMARY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Oversight of ESG</w:t>
      </w:r>
    </w:p>
    <w:p>
      <w:pPr>
        <w:spacing w:after="0" w:line="225" w:lineRule="exact"/>
        <w:rPr>
          <w:sz w:val="20"/>
          <w:szCs w:val="20"/>
          <w:color w:val="auto"/>
        </w:rPr>
      </w:pPr>
    </w:p>
    <w:p>
      <w:pPr>
        <w:ind w:left="120" w:right="100"/>
        <w:spacing w:after="0" w:line="306" w:lineRule="auto"/>
        <w:rPr>
          <w:sz w:val="20"/>
          <w:szCs w:val="20"/>
          <w:color w:val="auto"/>
        </w:rPr>
      </w:pPr>
      <w:r>
        <w:rPr>
          <w:rFonts w:ascii="Arial" w:cs="Arial" w:eastAsia="Arial" w:hAnsi="Arial"/>
          <w:sz w:val="16"/>
          <w:szCs w:val="16"/>
          <w:color w:val="auto"/>
        </w:rPr>
        <w:t>Our Board is committed to overseeing NerdWallet’s efforts to integrate ESG principles and practices throughout the organization and the development of an ESG strategy. In 2022 an ESG Committee of the Board was formed that is responsible for managing the development and execution of our ESG strategy. The ESG Committee of the Board will form an Executive ESG Committee that will be responsible for managing the development and execution of our ESG strategy. Our ESG Steering/Working Committee is comprised of delegates representing a cross-section of our organization, including members of our human resources, legal, information technology, investor relations and financial teams, and is involved in policy planning, day to day implementation and the coordination of corporate-wide ESG efforts, and is overseen by the Executive ESG Committee. An overview of our structure and breakdown of responsibilities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132080</wp:posOffset>
            </wp:positionV>
            <wp:extent cx="4029075" cy="130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907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300"/>
        <w:spacing w:after="0" w:line="339" w:lineRule="auto"/>
        <w:rPr>
          <w:sz w:val="20"/>
          <w:szCs w:val="20"/>
          <w:color w:val="auto"/>
        </w:rPr>
      </w:pPr>
      <w:r>
        <w:rPr>
          <w:rFonts w:ascii="Arial" w:cs="Arial" w:eastAsia="Arial" w:hAnsi="Arial"/>
          <w:sz w:val="16"/>
          <w:szCs w:val="16"/>
          <w:color w:val="auto"/>
        </w:rPr>
        <w:t xml:space="preserve">As we continue to implement and evolve our ESG efforts, we’re committed to sharing our progress. We intend to publish an annual ESG report on our Investor Relations website at </w:t>
      </w:r>
      <w:r>
        <w:rPr>
          <w:rFonts w:ascii="Arial" w:cs="Arial" w:eastAsia="Arial" w:hAnsi="Arial"/>
          <w:sz w:val="16"/>
          <w:szCs w:val="16"/>
          <w:u w:val="single" w:color="auto"/>
          <w:color w:val="auto"/>
        </w:rPr>
        <w:t>https://investors.nerdwallet.com</w:t>
      </w:r>
      <w:r>
        <w:rPr>
          <w:rFonts w:ascii="Arial" w:cs="Arial" w:eastAsia="Arial" w:hAnsi="Arial"/>
          <w:sz w:val="16"/>
          <w:szCs w:val="16"/>
          <w:color w:val="auto"/>
        </w:rPr>
        <w: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Human Capital Management Highlights</w:t>
      </w:r>
    </w:p>
    <w:p>
      <w:pPr>
        <w:spacing w:after="0" w:line="249" w:lineRule="exact"/>
        <w:rPr>
          <w:sz w:val="20"/>
          <w:szCs w:val="20"/>
          <w:color w:val="auto"/>
        </w:rPr>
      </w:pPr>
    </w:p>
    <w:p>
      <w:pPr>
        <w:ind w:left="120" w:right="480"/>
        <w:spacing w:after="0" w:line="319" w:lineRule="auto"/>
        <w:rPr>
          <w:sz w:val="20"/>
          <w:szCs w:val="20"/>
          <w:color w:val="auto"/>
        </w:rPr>
      </w:pPr>
      <w:r>
        <w:rPr>
          <w:rFonts w:ascii="Arial" w:cs="Arial" w:eastAsia="Arial" w:hAnsi="Arial"/>
          <w:sz w:val="16"/>
          <w:szCs w:val="16"/>
          <w:b w:val="1"/>
          <w:bCs w:val="1"/>
          <w:color w:val="auto"/>
        </w:rPr>
        <w:t xml:space="preserve">Our Culture and Engagement. </w:t>
      </w:r>
      <w:r>
        <w:rPr>
          <w:rFonts w:ascii="Arial" w:cs="Arial" w:eastAsia="Arial" w:hAnsi="Arial"/>
          <w:sz w:val="16"/>
          <w:szCs w:val="16"/>
          <w:color w:val="auto"/>
        </w:rPr>
        <w:t>Core to our culture is our commitment to our values; (1) Consumer, Company, Team, Self; (2) Relentless Self-Improvement; (3) Ownership; (4) Informed Risk-Taking; and (5) Open, Candid and Constructive. We measure employee performance against these company values and measure employee engagement through surveys, and participation at all-hands and town hall-style meetings with leadership.</w:t>
      </w:r>
    </w:p>
    <w:p>
      <w:pPr>
        <w:spacing w:after="0" w:line="171" w:lineRule="exact"/>
        <w:rPr>
          <w:sz w:val="20"/>
          <w:szCs w:val="20"/>
          <w:color w:val="auto"/>
        </w:rPr>
      </w:pPr>
    </w:p>
    <w:p>
      <w:pPr>
        <w:ind w:left="120" w:right="80"/>
        <w:spacing w:after="0" w:line="319" w:lineRule="auto"/>
        <w:rPr>
          <w:sz w:val="20"/>
          <w:szCs w:val="20"/>
          <w:color w:val="auto"/>
        </w:rPr>
      </w:pPr>
      <w:r>
        <w:rPr>
          <w:rFonts w:ascii="Arial" w:cs="Arial" w:eastAsia="Arial" w:hAnsi="Arial"/>
          <w:sz w:val="16"/>
          <w:szCs w:val="16"/>
          <w:b w:val="1"/>
          <w:bCs w:val="1"/>
          <w:color w:val="auto"/>
        </w:rPr>
        <w:t xml:space="preserve">Compensation. </w:t>
      </w:r>
      <w:r>
        <w:rPr>
          <w:rFonts w:ascii="Arial" w:cs="Arial" w:eastAsia="Arial" w:hAnsi="Arial"/>
          <w:sz w:val="16"/>
          <w:szCs w:val="16"/>
          <w:color w:val="auto"/>
        </w:rPr>
        <w:t>NerdWallet offers market-competitive compensation to attract employees and a pay-for-performance philosophy to engage and retain</w:t>
      </w:r>
      <w:r>
        <w:rPr>
          <w:rFonts w:ascii="Arial" w:cs="Arial" w:eastAsia="Arial" w:hAnsi="Arial"/>
          <w:sz w:val="16"/>
          <w:szCs w:val="16"/>
          <w:b w:val="1"/>
          <w:bCs w:val="1"/>
          <w:color w:val="auto"/>
        </w:rPr>
        <w:t xml:space="preserve"> </w:t>
      </w:r>
      <w:r>
        <w:rPr>
          <w:rFonts w:ascii="Arial" w:cs="Arial" w:eastAsia="Arial" w:hAnsi="Arial"/>
          <w:sz w:val="16"/>
          <w:szCs w:val="16"/>
          <w:color w:val="auto"/>
        </w:rPr>
        <w:t>our employees. We want our employees to feel invested in the future of NerdWallet by offering equity-based compensation upon hire and through annual performance equity grants.</w:t>
      </w:r>
    </w:p>
    <w:p>
      <w:pPr>
        <w:spacing w:after="0" w:line="171" w:lineRule="exact"/>
        <w:rPr>
          <w:sz w:val="20"/>
          <w:szCs w:val="20"/>
          <w:color w:val="auto"/>
        </w:rPr>
      </w:pPr>
    </w:p>
    <w:p>
      <w:pPr>
        <w:ind w:left="120"/>
        <w:spacing w:after="0" w:line="339" w:lineRule="auto"/>
        <w:rPr>
          <w:sz w:val="20"/>
          <w:szCs w:val="20"/>
          <w:color w:val="auto"/>
        </w:rPr>
      </w:pPr>
      <w:r>
        <w:rPr>
          <w:rFonts w:ascii="Arial" w:cs="Arial" w:eastAsia="Arial" w:hAnsi="Arial"/>
          <w:sz w:val="16"/>
          <w:szCs w:val="16"/>
          <w:b w:val="1"/>
          <w:bCs w:val="1"/>
          <w:color w:val="auto"/>
        </w:rPr>
        <w:t xml:space="preserve">Pay Equity. </w:t>
      </w:r>
      <w:r>
        <w:rPr>
          <w:rFonts w:ascii="Arial" w:cs="Arial" w:eastAsia="Arial" w:hAnsi="Arial"/>
          <w:sz w:val="16"/>
          <w:szCs w:val="16"/>
          <w:color w:val="auto"/>
        </w:rPr>
        <w:t>We use a third party platform to analyze our employee salaries for gaps based on race or gender. This analysis happens at least twice a year</w:t>
      </w:r>
      <w:r>
        <w:rPr>
          <w:rFonts w:ascii="Arial" w:cs="Arial" w:eastAsia="Arial" w:hAnsi="Arial"/>
          <w:sz w:val="16"/>
          <w:szCs w:val="16"/>
          <w:b w:val="1"/>
          <w:bCs w:val="1"/>
          <w:color w:val="auto"/>
        </w:rPr>
        <w:t xml:space="preserve"> </w:t>
      </w:r>
      <w:r>
        <w:rPr>
          <w:rFonts w:ascii="Arial" w:cs="Arial" w:eastAsia="Arial" w:hAnsi="Arial"/>
          <w:sz w:val="16"/>
          <w:szCs w:val="16"/>
          <w:color w:val="auto"/>
        </w:rPr>
        <w:t>during our compensation cycle, and we take action when discrepancies emerge.</w:t>
      </w:r>
    </w:p>
    <w:p>
      <w:pPr>
        <w:spacing w:after="0" w:line="155" w:lineRule="exact"/>
        <w:rPr>
          <w:sz w:val="20"/>
          <w:szCs w:val="20"/>
          <w:color w:val="auto"/>
        </w:rPr>
      </w:pPr>
    </w:p>
    <w:p>
      <w:pPr>
        <w:ind w:left="120" w:right="140"/>
        <w:spacing w:after="0" w:line="319" w:lineRule="auto"/>
        <w:rPr>
          <w:sz w:val="20"/>
          <w:szCs w:val="20"/>
          <w:color w:val="auto"/>
        </w:rPr>
      </w:pPr>
      <w:r>
        <w:rPr>
          <w:rFonts w:ascii="Arial" w:cs="Arial" w:eastAsia="Arial" w:hAnsi="Arial"/>
          <w:sz w:val="16"/>
          <w:szCs w:val="16"/>
          <w:b w:val="1"/>
          <w:bCs w:val="1"/>
          <w:color w:val="auto"/>
        </w:rPr>
        <w:t xml:space="preserve">Remote Work. </w:t>
      </w:r>
      <w:r>
        <w:rPr>
          <w:rFonts w:ascii="Arial" w:cs="Arial" w:eastAsia="Arial" w:hAnsi="Arial"/>
          <w:sz w:val="16"/>
          <w:szCs w:val="16"/>
          <w:color w:val="auto"/>
        </w:rPr>
        <w:t>Many of our employees transitioned or were hired into permanent remote status and as of December 31, 2021 are not required to report</w:t>
      </w:r>
      <w:r>
        <w:rPr>
          <w:rFonts w:ascii="Arial" w:cs="Arial" w:eastAsia="Arial" w:hAnsi="Arial"/>
          <w:sz w:val="16"/>
          <w:szCs w:val="16"/>
          <w:b w:val="1"/>
          <w:bCs w:val="1"/>
          <w:color w:val="auto"/>
        </w:rPr>
        <w:t xml:space="preserve"> </w:t>
      </w:r>
      <w:r>
        <w:rPr>
          <w:rFonts w:ascii="Arial" w:cs="Arial" w:eastAsia="Arial" w:hAnsi="Arial"/>
          <w:sz w:val="16"/>
          <w:szCs w:val="16"/>
          <w:color w:val="auto"/>
        </w:rPr>
        <w:t>to an office for work. We have embraced this change and continue to evolve our practices for employees to be their most productive and engaged working outside of a traditional office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hanging="741"/>
        <w:spacing w:after="0"/>
        <w:tabs>
          <w:tab w:leader="none" w:pos="108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PROXY SUMMARY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Awards and Recognition</w:t>
      </w:r>
    </w:p>
    <w:p>
      <w:pPr>
        <w:spacing w:after="0" w:line="225" w:lineRule="exact"/>
        <w:rPr>
          <w:sz w:val="20"/>
          <w:szCs w:val="20"/>
          <w:color w:val="auto"/>
        </w:rPr>
      </w:pPr>
    </w:p>
    <w:p>
      <w:pPr>
        <w:ind w:left="120" w:right="380"/>
        <w:spacing w:after="0" w:line="339" w:lineRule="auto"/>
        <w:rPr>
          <w:sz w:val="20"/>
          <w:szCs w:val="20"/>
          <w:color w:val="auto"/>
        </w:rPr>
      </w:pPr>
      <w:r>
        <w:rPr>
          <w:rFonts w:ascii="Arial" w:cs="Arial" w:eastAsia="Arial" w:hAnsi="Arial"/>
          <w:sz w:val="16"/>
          <w:szCs w:val="16"/>
          <w:color w:val="auto"/>
        </w:rPr>
        <w:t>In 2021 we reached important milestones and received various awards, as listed below, which we believe are indicative of the culture, workplace and products we are building at NerdWallet.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6111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611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1: ELECTION OF DIRECTORS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Proposal No. 1—Election of Directors</w:t>
      </w:r>
    </w:p>
    <w:p>
      <w:pPr>
        <w:spacing w:after="0" w:line="269"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color w:val="auto"/>
        </w:rPr>
        <w:t>Our Board currently has five members and all of the current directors are being nominated for election at the Annual Meeting to hold office until the next annual meeting and until their respective successors have been duly elected and qualified, or until such director’s earlier resignation, retirement or other termination of service. All of our director nominees were previously elected by our stockholders, except for Kenneth T. McBride, who was appointed to the Board effective April 1, 2022. The Board has determined that all of the director nominees are independent, except for Mr. Chen, who is not considered independent due to his position as our Chief Executive Officer. There are no family relationships among any of the directors, director nominees and executive officers. Each nominee has agreed to serve, if elected. If any nominee declines or is unable to accept such nomination or is unable to serve, an event which we do not expect, the Board reserves the right in its discretion to substitute another person as a nominee or to reduce the number of nominees and the size of the Board. In this event, the proxy holders may vote, in their discretion, for any substitute nominee proposed by the Board. We have presented below biographical information regarding each nominee. This biographical information is supplemented by additional information regarding the particular experiences, qualifications, attributes and skills that led the Board to conclude each nominee should serve on the Board. This additional information is set forth under “Proxy Summary—A Highly Diverse and Skilled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175895</wp:posOffset>
            </wp:positionV>
            <wp:extent cx="514350" cy="386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175895</wp:posOffset>
            </wp:positionV>
            <wp:extent cx="51435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175895</wp:posOffset>
            </wp:positionV>
            <wp:extent cx="514350"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tabs>
          <w:tab w:leader="none" w:pos="3840" w:val="left"/>
          <w:tab w:leader="none" w:pos="7580" w:val="left"/>
        </w:tabs>
        <w:rPr>
          <w:sz w:val="20"/>
          <w:szCs w:val="20"/>
          <w:color w:val="auto"/>
        </w:rPr>
      </w:pPr>
      <w:r>
        <w:rPr>
          <w:rFonts w:ascii="Arial" w:cs="Arial" w:eastAsia="Arial" w:hAnsi="Arial"/>
          <w:sz w:val="16"/>
          <w:szCs w:val="16"/>
          <w:b w:val="1"/>
          <w:bCs w:val="1"/>
          <w:color w:val="auto"/>
        </w:rPr>
        <w:t>Tim Chen</w:t>
      </w:r>
      <w:r>
        <w:rPr>
          <w:sz w:val="20"/>
          <w:szCs w:val="20"/>
          <w:color w:val="auto"/>
        </w:rPr>
        <w:tab/>
      </w:r>
      <w:r>
        <w:rPr>
          <w:rFonts w:ascii="Arial" w:cs="Arial" w:eastAsia="Arial" w:hAnsi="Arial"/>
          <w:sz w:val="16"/>
          <w:szCs w:val="16"/>
          <w:b w:val="1"/>
          <w:bCs w:val="1"/>
          <w:color w:val="auto"/>
        </w:rPr>
        <w:t>Jennifer E. Ceran</w:t>
      </w:r>
      <w:r>
        <w:rPr>
          <w:sz w:val="20"/>
          <w:szCs w:val="20"/>
          <w:color w:val="auto"/>
        </w:rPr>
        <w:tab/>
      </w:r>
      <w:r>
        <w:rPr>
          <w:rFonts w:ascii="Arial" w:cs="Arial" w:eastAsia="Arial" w:hAnsi="Arial"/>
          <w:sz w:val="16"/>
          <w:szCs w:val="16"/>
          <w:b w:val="1"/>
          <w:bCs w:val="1"/>
          <w:color w:val="auto"/>
        </w:rPr>
        <w:t>Lynne M. Laube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514350" cy="386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 cy="38608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158115</wp:posOffset>
            </wp:positionV>
            <wp:extent cx="514350"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tabs>
          <w:tab w:leader="none" w:pos="3840" w:val="left"/>
        </w:tabs>
        <w:rPr>
          <w:sz w:val="20"/>
          <w:szCs w:val="20"/>
          <w:color w:val="auto"/>
        </w:rPr>
      </w:pPr>
      <w:r>
        <w:rPr>
          <w:rFonts w:ascii="Arial" w:cs="Arial" w:eastAsia="Arial" w:hAnsi="Arial"/>
          <w:sz w:val="16"/>
          <w:szCs w:val="16"/>
          <w:b w:val="1"/>
          <w:bCs w:val="1"/>
          <w:color w:val="auto"/>
        </w:rPr>
        <w:t>Thomas Loverro</w:t>
      </w:r>
      <w:r>
        <w:rPr>
          <w:sz w:val="20"/>
          <w:szCs w:val="20"/>
          <w:color w:val="auto"/>
        </w:rPr>
        <w:tab/>
      </w:r>
      <w:r>
        <w:rPr>
          <w:rFonts w:ascii="Arial" w:cs="Arial" w:eastAsia="Arial" w:hAnsi="Arial"/>
          <w:sz w:val="16"/>
          <w:szCs w:val="16"/>
          <w:b w:val="1"/>
          <w:bCs w:val="1"/>
          <w:color w:val="auto"/>
        </w:rPr>
        <w:t>Kenneth T. McBride</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Snapshot of Director Nominees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director nominees exhibit a mix of skills, experience, diversity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1971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80" w:hanging="741"/>
        <w:spacing w:after="0"/>
        <w:tabs>
          <w:tab w:leader="none" w:pos="108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PROPOSAL NO. 1: ELECTION OF DIRECTORS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Recommendation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Board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17145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Background and Qualifications</w:t>
      </w:r>
    </w:p>
    <w:p>
      <w:pPr>
        <w:sectPr>
          <w:pgSz w:w="11900" w:h="16838" w:orient="portrait"/>
          <w:cols w:equalWidth="0" w:num="1">
            <w:col w:w="11140"/>
          </w:cols>
          <w:pgMar w:left="320" w:top="455" w:right="439" w:bottom="1440" w:gutter="0" w:footer="0" w:header="0"/>
        </w:sect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1457325" cy="13544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5732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2011</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39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12890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149225</wp:posOffset>
            </wp:positionV>
            <wp:extent cx="12890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106680</wp:posOffset>
            </wp:positionV>
            <wp:extent cx="17145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132080</wp:posOffset>
            </wp:positionV>
            <wp:extent cx="18859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-320675</wp:posOffset>
            </wp:positionV>
            <wp:extent cx="4963160" cy="2417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63160" cy="24174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 Chairman of the Board</w:t>
      </w:r>
    </w:p>
    <w:p>
      <w:pPr>
        <w:spacing w:after="0" w:line="111" w:lineRule="exact"/>
        <w:rPr>
          <w:sz w:val="20"/>
          <w:szCs w:val="20"/>
          <w:color w:val="auto"/>
        </w:rPr>
      </w:pPr>
    </w:p>
    <w:p>
      <w:pPr>
        <w:ind w:right="700"/>
        <w:spacing w:after="0" w:line="299" w:lineRule="auto"/>
        <w:rPr>
          <w:sz w:val="20"/>
          <w:szCs w:val="20"/>
          <w:color w:val="auto"/>
        </w:rPr>
      </w:pPr>
      <w:r>
        <w:rPr>
          <w:rFonts w:ascii="Arial" w:cs="Arial" w:eastAsia="Arial" w:hAnsi="Arial"/>
          <w:sz w:val="16"/>
          <w:szCs w:val="16"/>
          <w:color w:val="auto"/>
        </w:rPr>
        <w:t>Mr. Chen has served as our Chief Executive officer since 2009, as a member of our Board of Directors since December 2011 and as a Chairman of our Board of Directors since September</w:t>
      </w:r>
    </w:p>
    <w:p>
      <w:pPr>
        <w:spacing w:after="0" w:line="1" w:lineRule="exact"/>
        <w:rPr>
          <w:sz w:val="20"/>
          <w:szCs w:val="20"/>
          <w:color w:val="auto"/>
        </w:rPr>
      </w:pPr>
    </w:p>
    <w:p>
      <w:pPr>
        <w:ind w:right="280"/>
        <w:spacing w:after="0" w:line="309" w:lineRule="auto"/>
        <w:rPr>
          <w:sz w:val="20"/>
          <w:szCs w:val="20"/>
          <w:color w:val="auto"/>
        </w:rPr>
      </w:pPr>
      <w:r>
        <w:rPr>
          <w:rFonts w:ascii="Arial" w:cs="Arial" w:eastAsia="Arial" w:hAnsi="Arial"/>
          <w:sz w:val="16"/>
          <w:szCs w:val="16"/>
          <w:color w:val="auto"/>
        </w:rPr>
        <w:t>2021. Prior to founding the Company, Mr. Chen worked at JAT Capital Management, L.P. and Perry Capital as an Investor and at Credit Suisse as an Equity Research Associate. Mr. Chen holds a B.A. in Economics from Stanford University. We believe Mr. Chen is qualified to serve on our Board of Directors due to his perspective and experience from serving as our Co-Founder and Chief Executive Officer, as well as his experience in the finance industry.</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3569970</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44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CEO</w:t>
            </w:r>
          </w:p>
        </w:tc>
        <w:tc>
          <w:tcPr>
            <w:tcW w:w="2000" w:type="dxa"/>
            <w:vAlign w:val="bottom"/>
          </w:tcPr>
          <w:p>
            <w:pPr>
              <w:ind w:left="500"/>
              <w:spacing w:after="0"/>
              <w:rPr>
                <w:sz w:val="20"/>
                <w:szCs w:val="20"/>
                <w:color w:val="auto"/>
              </w:rPr>
            </w:pPr>
            <w:r>
              <w:rPr>
                <w:rFonts w:ascii="Arial" w:cs="Arial" w:eastAsia="Arial" w:hAnsi="Arial"/>
                <w:sz w:val="14"/>
                <w:szCs w:val="14"/>
                <w:color w:val="auto"/>
              </w:rPr>
              <w:t>Financial</w:t>
            </w:r>
          </w:p>
        </w:tc>
        <w:tc>
          <w:tcPr>
            <w:tcW w:w="2360" w:type="dxa"/>
            <w:vAlign w:val="bottom"/>
          </w:tcPr>
          <w:p>
            <w:pPr>
              <w:ind w:left="800"/>
              <w:spacing w:after="0"/>
              <w:rPr>
                <w:sz w:val="20"/>
                <w:szCs w:val="20"/>
                <w:color w:val="auto"/>
              </w:rPr>
            </w:pPr>
            <w:r>
              <w:rPr>
                <w:rFonts w:ascii="Arial" w:cs="Arial" w:eastAsia="Arial" w:hAnsi="Arial"/>
                <w:sz w:val="14"/>
                <w:szCs w:val="14"/>
                <w:color w:val="auto"/>
              </w:rPr>
              <w:t>Risk</w:t>
            </w:r>
          </w:p>
        </w:tc>
        <w:tc>
          <w:tcPr>
            <w:tcW w:w="2300" w:type="dxa"/>
            <w:vAlign w:val="bottom"/>
          </w:tcPr>
          <w:p>
            <w:pPr>
              <w:spacing w:after="0"/>
              <w:rPr>
                <w:sz w:val="14"/>
                <w:szCs w:val="14"/>
                <w:color w:val="auto"/>
              </w:rPr>
            </w:pPr>
          </w:p>
        </w:tc>
        <w:tc>
          <w:tcPr>
            <w:tcW w:w="1620" w:type="dxa"/>
            <w:vAlign w:val="bottom"/>
          </w:tcPr>
          <w:p>
            <w:pPr>
              <w:ind w:left="740"/>
              <w:spacing w:after="0"/>
              <w:rPr>
                <w:sz w:val="20"/>
                <w:szCs w:val="20"/>
                <w:color w:val="auto"/>
              </w:rPr>
            </w:pPr>
            <w:r>
              <w:rPr>
                <w:rFonts w:ascii="Arial" w:cs="Arial" w:eastAsia="Arial" w:hAnsi="Arial"/>
                <w:sz w:val="14"/>
                <w:szCs w:val="14"/>
                <w:color w:val="auto"/>
              </w:rPr>
              <w:t>IT &amp;</w:t>
            </w:r>
          </w:p>
        </w:tc>
      </w:tr>
      <w:tr>
        <w:trPr>
          <w:trHeight w:val="190"/>
        </w:trPr>
        <w:tc>
          <w:tcPr>
            <w:tcW w:w="1960" w:type="dxa"/>
            <w:vAlign w:val="bottom"/>
          </w:tcPr>
          <w:p>
            <w:pPr>
              <w:spacing w:after="0"/>
              <w:rPr>
                <w:sz w:val="20"/>
                <w:szCs w:val="20"/>
                <w:color w:val="auto"/>
              </w:rPr>
            </w:pPr>
            <w:r>
              <w:rPr>
                <w:rFonts w:ascii="Arial" w:cs="Arial" w:eastAsia="Arial" w:hAnsi="Arial"/>
                <w:sz w:val="14"/>
                <w:szCs w:val="14"/>
                <w:color w:val="auto"/>
              </w:rPr>
              <w:t>Leadership</w:t>
            </w:r>
          </w:p>
        </w:tc>
        <w:tc>
          <w:tcPr>
            <w:tcW w:w="2000" w:type="dxa"/>
            <w:vAlign w:val="bottom"/>
          </w:tcPr>
          <w:p>
            <w:pPr>
              <w:ind w:left="500"/>
              <w:spacing w:after="0"/>
              <w:rPr>
                <w:sz w:val="20"/>
                <w:szCs w:val="20"/>
                <w:color w:val="auto"/>
              </w:rPr>
            </w:pPr>
            <w:r>
              <w:rPr>
                <w:rFonts w:ascii="Arial" w:cs="Arial" w:eastAsia="Arial" w:hAnsi="Arial"/>
                <w:sz w:val="14"/>
                <w:szCs w:val="14"/>
                <w:color w:val="auto"/>
              </w:rPr>
              <w:t>Acumen</w:t>
            </w:r>
          </w:p>
        </w:tc>
        <w:tc>
          <w:tcPr>
            <w:tcW w:w="2360" w:type="dxa"/>
            <w:vAlign w:val="bottom"/>
          </w:tcPr>
          <w:p>
            <w:pPr>
              <w:ind w:left="800"/>
              <w:spacing w:after="0"/>
              <w:rPr>
                <w:sz w:val="20"/>
                <w:szCs w:val="20"/>
                <w:color w:val="auto"/>
              </w:rPr>
            </w:pPr>
            <w:r>
              <w:rPr>
                <w:rFonts w:ascii="Arial" w:cs="Arial" w:eastAsia="Arial" w:hAnsi="Arial"/>
                <w:sz w:val="14"/>
                <w:szCs w:val="14"/>
                <w:color w:val="auto"/>
              </w:rPr>
              <w:t>Management</w:t>
            </w:r>
          </w:p>
        </w:tc>
        <w:tc>
          <w:tcPr>
            <w:tcW w:w="2300" w:type="dxa"/>
            <w:vAlign w:val="bottom"/>
          </w:tcPr>
          <w:p>
            <w:pPr>
              <w:ind w:left="740"/>
              <w:spacing w:after="0"/>
              <w:rPr>
                <w:sz w:val="20"/>
                <w:szCs w:val="20"/>
                <w:color w:val="auto"/>
              </w:rPr>
            </w:pPr>
            <w:r>
              <w:rPr>
                <w:rFonts w:ascii="Arial" w:cs="Arial" w:eastAsia="Arial" w:hAnsi="Arial"/>
                <w:sz w:val="14"/>
                <w:szCs w:val="14"/>
                <w:color w:val="auto"/>
              </w:rPr>
              <w:t>Marketing</w:t>
            </w:r>
          </w:p>
        </w:tc>
        <w:tc>
          <w:tcPr>
            <w:tcW w:w="1620" w:type="dxa"/>
            <w:vAlign w:val="bottom"/>
          </w:tcPr>
          <w:p>
            <w:pPr>
              <w:ind w:left="740"/>
              <w:spacing w:after="0"/>
              <w:rPr>
                <w:sz w:val="20"/>
                <w:szCs w:val="20"/>
                <w:color w:val="auto"/>
              </w:rPr>
            </w:pPr>
            <w:r>
              <w:rPr>
                <w:rFonts w:ascii="Arial" w:cs="Arial" w:eastAsia="Arial" w:hAnsi="Arial"/>
                <w:sz w:val="14"/>
                <w:szCs w:val="14"/>
                <w:color w:val="auto"/>
              </w:rPr>
              <w:t>Cybersecurity</w:t>
            </w:r>
          </w:p>
        </w:tc>
      </w:tr>
      <w:tr>
        <w:trPr>
          <w:trHeight w:val="255"/>
        </w:trPr>
        <w:tc>
          <w:tcPr>
            <w:tcW w:w="1960" w:type="dxa"/>
            <w:vAlign w:val="bottom"/>
          </w:tcPr>
          <w:p>
            <w:pPr>
              <w:spacing w:after="0"/>
              <w:rPr>
                <w:sz w:val="20"/>
                <w:szCs w:val="20"/>
                <w:color w:val="auto"/>
              </w:rPr>
            </w:pPr>
            <w:r>
              <w:rPr>
                <w:rFonts w:ascii="Arial" w:cs="Arial" w:eastAsia="Arial" w:hAnsi="Arial"/>
                <w:sz w:val="14"/>
                <w:szCs w:val="14"/>
                <w:color w:val="auto"/>
              </w:rPr>
              <w:t>Public Company Board</w:t>
            </w:r>
          </w:p>
        </w:tc>
        <w:tc>
          <w:tcPr>
            <w:tcW w:w="2000" w:type="dxa"/>
            <w:vAlign w:val="bottom"/>
          </w:tcPr>
          <w:p>
            <w:pPr>
              <w:ind w:left="500"/>
              <w:spacing w:after="0"/>
              <w:rPr>
                <w:sz w:val="20"/>
                <w:szCs w:val="20"/>
                <w:color w:val="auto"/>
              </w:rPr>
            </w:pPr>
            <w:r>
              <w:rPr>
                <w:rFonts w:ascii="Arial" w:cs="Arial" w:eastAsia="Arial" w:hAnsi="Arial"/>
                <w:sz w:val="14"/>
                <w:szCs w:val="14"/>
                <w:color w:val="auto"/>
              </w:rPr>
              <w:t>Operations</w:t>
            </w:r>
          </w:p>
        </w:tc>
        <w:tc>
          <w:tcPr>
            <w:tcW w:w="2360" w:type="dxa"/>
            <w:vAlign w:val="bottom"/>
          </w:tcPr>
          <w:p>
            <w:pPr>
              <w:ind w:left="800"/>
              <w:spacing w:after="0"/>
              <w:rPr>
                <w:sz w:val="20"/>
                <w:szCs w:val="20"/>
                <w:color w:val="auto"/>
              </w:rPr>
            </w:pPr>
            <w:r>
              <w:rPr>
                <w:rFonts w:ascii="Arial" w:cs="Arial" w:eastAsia="Arial" w:hAnsi="Arial"/>
                <w:sz w:val="14"/>
                <w:szCs w:val="14"/>
                <w:color w:val="auto"/>
              </w:rPr>
              <w:t>Corporate</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90"/>
        </w:trPr>
        <w:tc>
          <w:tcPr>
            <w:tcW w:w="1960" w:type="dxa"/>
            <w:vAlign w:val="bottom"/>
          </w:tcPr>
          <w:p>
            <w:pPr>
              <w:spacing w:after="0"/>
              <w:rPr>
                <w:sz w:val="20"/>
                <w:szCs w:val="20"/>
                <w:color w:val="auto"/>
              </w:rPr>
            </w:pPr>
            <w:r>
              <w:rPr>
                <w:rFonts w:ascii="Arial" w:cs="Arial" w:eastAsia="Arial" w:hAnsi="Arial"/>
                <w:sz w:val="14"/>
                <w:szCs w:val="14"/>
                <w:color w:val="auto"/>
              </w:rPr>
              <w:t>Experience</w:t>
            </w:r>
          </w:p>
        </w:tc>
        <w:tc>
          <w:tcPr>
            <w:tcW w:w="2000" w:type="dxa"/>
            <w:vAlign w:val="bottom"/>
          </w:tcPr>
          <w:p>
            <w:pPr>
              <w:ind w:left="500"/>
              <w:spacing w:after="0"/>
              <w:rPr>
                <w:sz w:val="20"/>
                <w:szCs w:val="20"/>
                <w:color w:val="auto"/>
              </w:rPr>
            </w:pPr>
            <w:r>
              <w:rPr>
                <w:rFonts w:ascii="Arial" w:cs="Arial" w:eastAsia="Arial" w:hAnsi="Arial"/>
                <w:sz w:val="14"/>
                <w:szCs w:val="14"/>
                <w:color w:val="auto"/>
              </w:rPr>
              <w:t>&amp; Strategy</w:t>
            </w:r>
          </w:p>
        </w:tc>
        <w:tc>
          <w:tcPr>
            <w:tcW w:w="2360" w:type="dxa"/>
            <w:vAlign w:val="bottom"/>
          </w:tcPr>
          <w:p>
            <w:pPr>
              <w:ind w:left="800"/>
              <w:spacing w:after="0"/>
              <w:rPr>
                <w:sz w:val="20"/>
                <w:szCs w:val="20"/>
                <w:color w:val="auto"/>
              </w:rPr>
            </w:pPr>
            <w:r>
              <w:rPr>
                <w:rFonts w:ascii="Arial" w:cs="Arial" w:eastAsia="Arial" w:hAnsi="Arial"/>
                <w:sz w:val="14"/>
                <w:szCs w:val="14"/>
                <w:color w:val="auto"/>
              </w:rPr>
              <w:t>Governance</w:t>
            </w:r>
          </w:p>
        </w:tc>
        <w:tc>
          <w:tcPr>
            <w:tcW w:w="2300" w:type="dxa"/>
            <w:vAlign w:val="bottom"/>
          </w:tcPr>
          <w:p>
            <w:pPr>
              <w:ind w:left="740"/>
              <w:spacing w:after="0"/>
              <w:rPr>
                <w:sz w:val="20"/>
                <w:szCs w:val="20"/>
                <w:color w:val="auto"/>
              </w:rPr>
            </w:pPr>
            <w:r>
              <w:rPr>
                <w:rFonts w:ascii="Arial" w:cs="Arial" w:eastAsia="Arial" w:hAnsi="Arial"/>
                <w:sz w:val="14"/>
                <w:szCs w:val="14"/>
                <w:color w:val="auto"/>
              </w:rPr>
              <w:t>Former CEO</w:t>
            </w:r>
          </w:p>
        </w:tc>
        <w:tc>
          <w:tcPr>
            <w:tcW w:w="1620" w:type="dxa"/>
            <w:vAlign w:val="bottom"/>
          </w:tcPr>
          <w:p>
            <w:pPr>
              <w:ind w:left="740"/>
              <w:spacing w:after="0"/>
              <w:rPr>
                <w:sz w:val="20"/>
                <w:szCs w:val="20"/>
                <w:color w:val="auto"/>
              </w:rPr>
            </w:pPr>
            <w:r>
              <w:rPr>
                <w:rFonts w:ascii="Arial" w:cs="Arial" w:eastAsia="Arial" w:hAnsi="Arial"/>
                <w:sz w:val="14"/>
                <w:szCs w:val="14"/>
                <w:color w:val="auto"/>
              </w:rPr>
              <w:t>Diversity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-422910</wp:posOffset>
            </wp:positionV>
            <wp:extent cx="12827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-414655</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-457200</wp:posOffset>
            </wp:positionV>
            <wp:extent cx="1714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-474345</wp:posOffset>
            </wp:positionV>
            <wp:extent cx="12890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-448945</wp:posOffset>
            </wp:positionV>
            <wp:extent cx="14605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-140335</wp:posOffset>
            </wp:positionV>
            <wp:extent cx="16256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-165735</wp:posOffset>
            </wp:positionV>
            <wp:extent cx="17145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-191770</wp:posOffset>
            </wp:positionV>
            <wp:extent cx="13716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-165735</wp:posOffset>
            </wp:positionV>
            <wp:extent cx="15430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-148590</wp:posOffset>
            </wp:positionV>
            <wp:extent cx="18859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702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right"/>
        <w:ind w:right="240"/>
        <w:spacing w:after="0"/>
        <w:rPr>
          <w:sz w:val="20"/>
          <w:szCs w:val="20"/>
          <w:color w:val="auto"/>
        </w:rPr>
      </w:pPr>
      <w:r>
        <w:rPr>
          <w:rFonts w:ascii="Arial" w:cs="Arial" w:eastAsia="Arial" w:hAnsi="Arial"/>
          <w:sz w:val="16"/>
          <w:szCs w:val="16"/>
          <w:b w:val="1"/>
          <w:bCs w:val="1"/>
          <w:color w:val="auto"/>
        </w:rPr>
        <w:t>15</w:t>
      </w:r>
    </w:p>
    <w:p>
      <w:pPr>
        <w:sectPr>
          <w:pgSz w:w="11900" w:h="16838" w:orient="portrait"/>
          <w:cols w:equalWidth="0" w:num="1">
            <w:col w:w="11140"/>
          </w:cols>
          <w:pgMar w:left="320" w:top="455" w:right="4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3806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3806190"/>
                    </a:xfrm>
                    <a:prstGeom prst="rect">
                      <a:avLst/>
                    </a:prstGeom>
                    <a:noFill/>
                  </pic:spPr>
                </pic:pic>
              </a:graphicData>
            </a:graphic>
          </wp:anchor>
        </w:drawing>
      </w:r>
    </w:p>
    <w:p>
      <w:pPr>
        <w:sectPr>
          <w:pgSz w:w="11900" w:h="16838" w:orient="portrait"/>
          <w:cols w:equalWidth="0" w:num="1">
            <w:col w:w="10860"/>
          </w:cols>
          <w:pgMar w:left="320" w:top="45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123825</wp:posOffset>
            </wp:positionV>
            <wp:extent cx="1714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123825</wp:posOffset>
            </wp:positionV>
            <wp:extent cx="17145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106680</wp:posOffset>
            </wp:positionV>
            <wp:extent cx="12890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000000"/>
                        </a:clrFrom>
                        <a:clrTo>
                          <a:srgbClr val="000000">
                            <a:alpha val="0"/>
                          </a:srgbClr>
                        </a:clrTo>
                      </a:clrChange>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106680</wp:posOffset>
            </wp:positionV>
            <wp:extent cx="12890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132080</wp:posOffset>
            </wp:positionV>
            <wp:extent cx="14541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000000"/>
                        </a:clrFrom>
                        <a:clrTo>
                          <a:srgbClr val="000000">
                            <a:alpha val="0"/>
                          </a:srgbClr>
                        </a:clrTo>
                      </a:clrChange>
                      <a:extLst>
                        <a:ext uri="{28A0092B-C50C-407E-A947-70E740481C1C}"/>
                      </a:extLst>
                    </a:blip>
                    <a:srcRect/>
                    <a:stretch>
                      <a:fillRect/>
                    </a:stretch>
                  </pic:blipFill>
                  <pic:spPr bwMode="auto">
                    <a:xfrm>
                      <a:off x="0" y="0"/>
                      <a:ext cx="145415" cy="163195"/>
                    </a:xfrm>
                    <a:prstGeom prst="rect">
                      <a:avLst/>
                    </a:prstGeom>
                    <a:noFill/>
                  </pic:spPr>
                </pic:pic>
              </a:graphicData>
            </a:graphic>
          </wp:anchor>
        </w:drawing>
        <w:drawing>
          <wp:anchor simplePos="0" relativeHeight="251657728" behindDoc="1" locked="0" layoutInCell="0" allowOverlap="1">
            <wp:simplePos x="0" y="0"/>
            <wp:positionH relativeFrom="column">
              <wp:posOffset>922020</wp:posOffset>
            </wp:positionH>
            <wp:positionV relativeFrom="paragraph">
              <wp:posOffset>132080</wp:posOffset>
            </wp:positionV>
            <wp:extent cx="14541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45415" cy="16319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158115</wp:posOffset>
            </wp:positionV>
            <wp:extent cx="16319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000000"/>
                        </a:clrFrom>
                        <a:clrTo>
                          <a:srgbClr val="000000">
                            <a:alpha val="0"/>
                          </a:srgbClr>
                        </a:clrTo>
                      </a:clrChange>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158115</wp:posOffset>
            </wp:positionV>
            <wp:extent cx="16319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Jennifer E. Ceran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1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Ms. Ceran has been a member of our Board of Directors since 2020. Ms. Ceran is the interim CFO of Klaviyo, a role she has held since November 2021. Ms. Ceran served as Chief Financial Officer of Smartsheet Inc. from September 2016 until January 2021. Prior to joining Smartsheet, Ms. Ceran served as the Chief Financial officer of Quotient Technology, Inc., an online marketing platform, from September 2015 to September 2016. From 2012 to September 2015, Ms. Ceran served as Vice President of Finance at Box, Inc., a cloud content management platform. From 2003 to 2012,</w:t>
      </w:r>
    </w:p>
    <w:p>
      <w:pPr>
        <w:spacing w:after="0" w:line="2"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Ms. Ceran served in various leadership roles at eBay Inc., a global commerce and payments platform, including as Vice President of Investor Relations, Vice President of Financial Planning and Analysis, and Vice President and Treasurer. Ms. Ceran is a member of the board of directors of Klaviyo, Plum Acquisition Corp. I, and Riskified Ltd, and she serves as the Chair of the Audit Committee of the latter two companies. Ms. Ceran holds a B.A. in Communications and French from Vanderbilt University, and an M.B.A. in Finance and Accounting from the University of Chicago, Booth School of Business. Ms. Ceran brings to our Board of Directors valuable financial and business expertise through her years of experience as a Chief Financial Officer with publicly traded companies. Ms. Ceran provides an important role in leading the Board of Directors’ activities on financial and auditing matters, as well as collaborating with our independent registered public accounting firm and management team.</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Plum Acquisition Corp. I and Riskified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2446655</wp:posOffset>
            </wp:positionV>
            <wp:extent cx="6995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160"/>
          </w:cols>
          <w:pgMar w:left="320" w:top="455"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CEO</w:t>
            </w:r>
          </w:p>
        </w:tc>
        <w:tc>
          <w:tcPr>
            <w:tcW w:w="2000" w:type="dxa"/>
            <w:vAlign w:val="bottom"/>
          </w:tcPr>
          <w:p>
            <w:pPr>
              <w:ind w:left="500"/>
              <w:spacing w:after="0"/>
              <w:rPr>
                <w:sz w:val="20"/>
                <w:szCs w:val="20"/>
                <w:color w:val="auto"/>
              </w:rPr>
            </w:pPr>
            <w:r>
              <w:rPr>
                <w:rFonts w:ascii="Arial" w:cs="Arial" w:eastAsia="Arial" w:hAnsi="Arial"/>
                <w:sz w:val="14"/>
                <w:szCs w:val="14"/>
                <w:color w:val="auto"/>
              </w:rPr>
              <w:t>Financial</w:t>
            </w:r>
          </w:p>
        </w:tc>
        <w:tc>
          <w:tcPr>
            <w:tcW w:w="2360" w:type="dxa"/>
            <w:vAlign w:val="bottom"/>
          </w:tcPr>
          <w:p>
            <w:pPr>
              <w:ind w:left="800"/>
              <w:spacing w:after="0"/>
              <w:rPr>
                <w:sz w:val="20"/>
                <w:szCs w:val="20"/>
                <w:color w:val="auto"/>
              </w:rPr>
            </w:pPr>
            <w:r>
              <w:rPr>
                <w:rFonts w:ascii="Arial" w:cs="Arial" w:eastAsia="Arial" w:hAnsi="Arial"/>
                <w:sz w:val="14"/>
                <w:szCs w:val="14"/>
                <w:color w:val="auto"/>
              </w:rPr>
              <w:t>Risk</w:t>
            </w:r>
          </w:p>
        </w:tc>
        <w:tc>
          <w:tcPr>
            <w:tcW w:w="2300" w:type="dxa"/>
            <w:vAlign w:val="bottom"/>
          </w:tcPr>
          <w:p>
            <w:pPr>
              <w:spacing w:after="0"/>
              <w:rPr>
                <w:sz w:val="14"/>
                <w:szCs w:val="14"/>
                <w:color w:val="auto"/>
              </w:rPr>
            </w:pPr>
          </w:p>
        </w:tc>
        <w:tc>
          <w:tcPr>
            <w:tcW w:w="1620" w:type="dxa"/>
            <w:vAlign w:val="bottom"/>
          </w:tcPr>
          <w:p>
            <w:pPr>
              <w:ind w:left="740"/>
              <w:spacing w:after="0"/>
              <w:rPr>
                <w:sz w:val="20"/>
                <w:szCs w:val="20"/>
                <w:color w:val="auto"/>
              </w:rPr>
            </w:pPr>
            <w:r>
              <w:rPr>
                <w:rFonts w:ascii="Arial" w:cs="Arial" w:eastAsia="Arial" w:hAnsi="Arial"/>
                <w:sz w:val="14"/>
                <w:szCs w:val="14"/>
                <w:color w:val="auto"/>
              </w:rPr>
              <w:t>IT &amp;</w:t>
            </w:r>
          </w:p>
        </w:tc>
      </w:tr>
      <w:tr>
        <w:trPr>
          <w:trHeight w:val="190"/>
        </w:trPr>
        <w:tc>
          <w:tcPr>
            <w:tcW w:w="1960" w:type="dxa"/>
            <w:vAlign w:val="bottom"/>
          </w:tcPr>
          <w:p>
            <w:pPr>
              <w:spacing w:after="0"/>
              <w:rPr>
                <w:sz w:val="20"/>
                <w:szCs w:val="20"/>
                <w:color w:val="auto"/>
              </w:rPr>
            </w:pPr>
            <w:r>
              <w:rPr>
                <w:rFonts w:ascii="Arial" w:cs="Arial" w:eastAsia="Arial" w:hAnsi="Arial"/>
                <w:sz w:val="14"/>
                <w:szCs w:val="14"/>
                <w:color w:val="auto"/>
              </w:rPr>
              <w:t>Leadership</w:t>
            </w:r>
          </w:p>
        </w:tc>
        <w:tc>
          <w:tcPr>
            <w:tcW w:w="2000" w:type="dxa"/>
            <w:vAlign w:val="bottom"/>
          </w:tcPr>
          <w:p>
            <w:pPr>
              <w:ind w:left="500"/>
              <w:spacing w:after="0"/>
              <w:rPr>
                <w:sz w:val="20"/>
                <w:szCs w:val="20"/>
                <w:color w:val="auto"/>
              </w:rPr>
            </w:pPr>
            <w:r>
              <w:rPr>
                <w:rFonts w:ascii="Arial" w:cs="Arial" w:eastAsia="Arial" w:hAnsi="Arial"/>
                <w:sz w:val="14"/>
                <w:szCs w:val="14"/>
                <w:color w:val="auto"/>
              </w:rPr>
              <w:t>Acumen</w:t>
            </w:r>
          </w:p>
        </w:tc>
        <w:tc>
          <w:tcPr>
            <w:tcW w:w="2360" w:type="dxa"/>
            <w:vAlign w:val="bottom"/>
          </w:tcPr>
          <w:p>
            <w:pPr>
              <w:ind w:left="800"/>
              <w:spacing w:after="0"/>
              <w:rPr>
                <w:sz w:val="20"/>
                <w:szCs w:val="20"/>
                <w:color w:val="auto"/>
              </w:rPr>
            </w:pPr>
            <w:r>
              <w:rPr>
                <w:rFonts w:ascii="Arial" w:cs="Arial" w:eastAsia="Arial" w:hAnsi="Arial"/>
                <w:sz w:val="14"/>
                <w:szCs w:val="14"/>
                <w:color w:val="auto"/>
              </w:rPr>
              <w:t>Management</w:t>
            </w:r>
          </w:p>
        </w:tc>
        <w:tc>
          <w:tcPr>
            <w:tcW w:w="2300" w:type="dxa"/>
            <w:vAlign w:val="bottom"/>
          </w:tcPr>
          <w:p>
            <w:pPr>
              <w:ind w:left="740"/>
              <w:spacing w:after="0"/>
              <w:rPr>
                <w:sz w:val="20"/>
                <w:szCs w:val="20"/>
                <w:color w:val="auto"/>
              </w:rPr>
            </w:pPr>
            <w:r>
              <w:rPr>
                <w:rFonts w:ascii="Arial" w:cs="Arial" w:eastAsia="Arial" w:hAnsi="Arial"/>
                <w:sz w:val="14"/>
                <w:szCs w:val="14"/>
                <w:color w:val="auto"/>
              </w:rPr>
              <w:t>Marketing</w:t>
            </w:r>
          </w:p>
        </w:tc>
        <w:tc>
          <w:tcPr>
            <w:tcW w:w="1620" w:type="dxa"/>
            <w:vAlign w:val="bottom"/>
          </w:tcPr>
          <w:p>
            <w:pPr>
              <w:ind w:left="740"/>
              <w:spacing w:after="0"/>
              <w:rPr>
                <w:sz w:val="20"/>
                <w:szCs w:val="20"/>
                <w:color w:val="auto"/>
              </w:rPr>
            </w:pPr>
            <w:r>
              <w:rPr>
                <w:rFonts w:ascii="Arial" w:cs="Arial" w:eastAsia="Arial" w:hAnsi="Arial"/>
                <w:sz w:val="14"/>
                <w:szCs w:val="14"/>
                <w:color w:val="auto"/>
              </w:rPr>
              <w:t>Cybersecurity</w:t>
            </w:r>
          </w:p>
        </w:tc>
      </w:tr>
      <w:tr>
        <w:trPr>
          <w:trHeight w:val="255"/>
        </w:trPr>
        <w:tc>
          <w:tcPr>
            <w:tcW w:w="1960" w:type="dxa"/>
            <w:vAlign w:val="bottom"/>
          </w:tcPr>
          <w:p>
            <w:pPr>
              <w:spacing w:after="0"/>
              <w:rPr>
                <w:sz w:val="20"/>
                <w:szCs w:val="20"/>
                <w:color w:val="auto"/>
              </w:rPr>
            </w:pPr>
            <w:r>
              <w:rPr>
                <w:rFonts w:ascii="Arial" w:cs="Arial" w:eastAsia="Arial" w:hAnsi="Arial"/>
                <w:sz w:val="14"/>
                <w:szCs w:val="14"/>
                <w:color w:val="auto"/>
              </w:rPr>
              <w:t>Public Company Board</w:t>
            </w:r>
          </w:p>
        </w:tc>
        <w:tc>
          <w:tcPr>
            <w:tcW w:w="2000" w:type="dxa"/>
            <w:vAlign w:val="bottom"/>
          </w:tcPr>
          <w:p>
            <w:pPr>
              <w:ind w:left="500"/>
              <w:spacing w:after="0"/>
              <w:rPr>
                <w:sz w:val="20"/>
                <w:szCs w:val="20"/>
                <w:color w:val="auto"/>
              </w:rPr>
            </w:pPr>
            <w:r>
              <w:rPr>
                <w:rFonts w:ascii="Arial" w:cs="Arial" w:eastAsia="Arial" w:hAnsi="Arial"/>
                <w:sz w:val="14"/>
                <w:szCs w:val="14"/>
                <w:color w:val="auto"/>
              </w:rPr>
              <w:t>Operations</w:t>
            </w:r>
          </w:p>
        </w:tc>
        <w:tc>
          <w:tcPr>
            <w:tcW w:w="2360" w:type="dxa"/>
            <w:vAlign w:val="bottom"/>
          </w:tcPr>
          <w:p>
            <w:pPr>
              <w:ind w:left="800"/>
              <w:spacing w:after="0"/>
              <w:rPr>
                <w:sz w:val="20"/>
                <w:szCs w:val="20"/>
                <w:color w:val="auto"/>
              </w:rPr>
            </w:pPr>
            <w:r>
              <w:rPr>
                <w:rFonts w:ascii="Arial" w:cs="Arial" w:eastAsia="Arial" w:hAnsi="Arial"/>
                <w:sz w:val="14"/>
                <w:szCs w:val="14"/>
                <w:color w:val="auto"/>
              </w:rPr>
              <w:t>Corporate</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4"/>
                <w:szCs w:val="14"/>
                <w:color w:val="auto"/>
              </w:rPr>
              <w:t>Experience</w:t>
            </w:r>
          </w:p>
        </w:tc>
        <w:tc>
          <w:tcPr>
            <w:tcW w:w="2000" w:type="dxa"/>
            <w:vAlign w:val="bottom"/>
          </w:tcPr>
          <w:p>
            <w:pPr>
              <w:ind w:left="500"/>
              <w:spacing w:after="0"/>
              <w:rPr>
                <w:sz w:val="20"/>
                <w:szCs w:val="20"/>
                <w:color w:val="auto"/>
              </w:rPr>
            </w:pPr>
            <w:r>
              <w:rPr>
                <w:rFonts w:ascii="Arial" w:cs="Arial" w:eastAsia="Arial" w:hAnsi="Arial"/>
                <w:sz w:val="14"/>
                <w:szCs w:val="14"/>
                <w:color w:val="auto"/>
              </w:rPr>
              <w:t>&amp; Strategy</w:t>
            </w:r>
          </w:p>
        </w:tc>
        <w:tc>
          <w:tcPr>
            <w:tcW w:w="2360" w:type="dxa"/>
            <w:vAlign w:val="bottom"/>
          </w:tcPr>
          <w:p>
            <w:pPr>
              <w:ind w:left="800"/>
              <w:spacing w:after="0"/>
              <w:rPr>
                <w:sz w:val="20"/>
                <w:szCs w:val="20"/>
                <w:color w:val="auto"/>
              </w:rPr>
            </w:pPr>
            <w:r>
              <w:rPr>
                <w:rFonts w:ascii="Arial" w:cs="Arial" w:eastAsia="Arial" w:hAnsi="Arial"/>
                <w:sz w:val="14"/>
                <w:szCs w:val="14"/>
                <w:color w:val="auto"/>
              </w:rPr>
              <w:t>Governance</w:t>
            </w:r>
          </w:p>
        </w:tc>
        <w:tc>
          <w:tcPr>
            <w:tcW w:w="2300" w:type="dxa"/>
            <w:vAlign w:val="bottom"/>
          </w:tcPr>
          <w:p>
            <w:pPr>
              <w:ind w:left="740"/>
              <w:spacing w:after="0"/>
              <w:rPr>
                <w:sz w:val="20"/>
                <w:szCs w:val="20"/>
                <w:color w:val="auto"/>
              </w:rPr>
            </w:pPr>
            <w:r>
              <w:rPr>
                <w:rFonts w:ascii="Arial" w:cs="Arial" w:eastAsia="Arial" w:hAnsi="Arial"/>
                <w:sz w:val="14"/>
                <w:szCs w:val="14"/>
                <w:color w:val="auto"/>
              </w:rPr>
              <w:t>Former CEO</w:t>
            </w:r>
          </w:p>
        </w:tc>
        <w:tc>
          <w:tcPr>
            <w:tcW w:w="1620" w:type="dxa"/>
            <w:vAlign w:val="bottom"/>
          </w:tcPr>
          <w:p>
            <w:pPr>
              <w:ind w:left="740"/>
              <w:spacing w:after="0"/>
              <w:rPr>
                <w:sz w:val="20"/>
                <w:szCs w:val="20"/>
                <w:color w:val="auto"/>
              </w:rPr>
            </w:pPr>
            <w:r>
              <w:rPr>
                <w:rFonts w:ascii="Arial" w:cs="Arial" w:eastAsia="Arial" w:hAnsi="Arial"/>
                <w:sz w:val="14"/>
                <w:szCs w:val="14"/>
                <w:color w:val="auto"/>
              </w:rPr>
              <w:t>Diversity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-431800</wp:posOffset>
            </wp:positionV>
            <wp:extent cx="12827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-422910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-466090</wp:posOffset>
            </wp:positionV>
            <wp:extent cx="17145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-483235</wp:posOffset>
            </wp:positionV>
            <wp:extent cx="12890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-457200</wp:posOffset>
            </wp:positionV>
            <wp:extent cx="14605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-148590</wp:posOffset>
            </wp:positionV>
            <wp:extent cx="1625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-174625</wp:posOffset>
            </wp:positionV>
            <wp:extent cx="17145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-200025</wp:posOffset>
            </wp:positionV>
            <wp:extent cx="13716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-174625</wp:posOffset>
            </wp:positionV>
            <wp:extent cx="154305"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-157480</wp:posOffset>
            </wp:positionV>
            <wp:extent cx="188595"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8595"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702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080" w:hanging="741"/>
        <w:spacing w:after="0"/>
        <w:tabs>
          <w:tab w:leader="none" w:pos="108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0860"/>
          </w:cols>
          <w:pgMar w:left="320" w:top="455" w:right="71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422275</wp:posOffset>
            </wp:positionV>
            <wp:extent cx="1457325" cy="1354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732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12890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140970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132080</wp:posOffset>
            </wp:positionV>
            <wp:extent cx="16319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106680</wp:posOffset>
            </wp:positionV>
            <wp:extent cx="17145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552450</wp:posOffset>
            </wp:positionV>
            <wp:extent cx="1457325" cy="13544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57325"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-647065</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-243840</wp:posOffset>
            </wp:positionH>
            <wp:positionV relativeFrom="paragraph">
              <wp:posOffset>106680</wp:posOffset>
            </wp:positionV>
            <wp:extent cx="4963160" cy="2872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63160" cy="287210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Lynne M. Laube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11"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Ms. Laube has been a member of our Board of Directors since 2020. She has served as the Chief Executive officer of Cardlytics, Inc. since May 2020 and as a director of Cardlytics, Inc., since 2008. Prior to that Ms. Laube served as the Chief Operating officer of Cardlytics, Inc., a role she held since 2008. From 1994 to 2008, Ms. Laube held various positions at Capital One, including as a Vice President. Ms. Laube started her career at Bank One Corporation, where she specialized in operations analysis. Ms. Laube holds a B.S. in Finance and Marketing from the University of Cincinnati. Ms. Laube’s extensive experience in the financial industry, and in analytics and operations, brings a valuable perspective to our Board, along with her experience as a Chief Executive Officer.</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Cardlytics,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543560</wp:posOffset>
            </wp:positionV>
            <wp:extent cx="6995160" cy="2537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253746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2980" w:space="720"/>
            <w:col w:w="74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140970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106680</wp:posOffset>
            </wp:positionV>
            <wp:extent cx="145415"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000000"/>
                        </a:clrFrom>
                        <a:clrTo>
                          <a:srgbClr val="000000">
                            <a:alpha val="0"/>
                          </a:srgbClr>
                        </a:clrTo>
                      </a:clrChange>
                      <a:extLst>
                        <a:ext uri="{28A0092B-C50C-407E-A947-70E740481C1C}"/>
                      </a:extLst>
                    </a:blip>
                    <a:srcRect/>
                    <a:stretch>
                      <a:fillRect/>
                    </a:stretch>
                  </pic:blipFill>
                  <pic:spPr bwMode="auto">
                    <a:xfrm>
                      <a:off x="0" y="0"/>
                      <a:ext cx="145415" cy="16319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106680</wp:posOffset>
            </wp:positionV>
            <wp:extent cx="14541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Thomas Loverro</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11"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auto"/>
        </w:rPr>
        <w:t>Mr. Loverro has been a member of our Board of Directors since 2019. Mr. Loverro is currently a General Partner and Managing Director at Institutional Venture Partners (“IVP”), a role he has held since 2019. Prior to that Mr. Loverro served as a Principal at IVP. Prior to joining IVP in 2015,</w:t>
      </w:r>
    </w:p>
    <w:p>
      <w:pPr>
        <w:spacing w:after="0" w:line="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Mr. Loverro was a Principal at RRE Ventures. Mr. Loverro holds a B.A. from Stanford University, where he graduated with Distinction, and a M.B.A. from Northwestern University, Kellogg School of Management. Mr. Loverro’s years of experience in venture capital investing and his insights in building businesses provide a valuable perspective to our Board.</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1238250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44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CEO</w:t>
            </w:r>
          </w:p>
        </w:tc>
        <w:tc>
          <w:tcPr>
            <w:tcW w:w="2000" w:type="dxa"/>
            <w:vAlign w:val="bottom"/>
          </w:tcPr>
          <w:p>
            <w:pPr>
              <w:ind w:left="500"/>
              <w:spacing w:after="0"/>
              <w:rPr>
                <w:sz w:val="20"/>
                <w:szCs w:val="20"/>
                <w:color w:val="auto"/>
              </w:rPr>
            </w:pPr>
            <w:r>
              <w:rPr>
                <w:rFonts w:ascii="Arial" w:cs="Arial" w:eastAsia="Arial" w:hAnsi="Arial"/>
                <w:sz w:val="14"/>
                <w:szCs w:val="14"/>
                <w:color w:val="auto"/>
              </w:rPr>
              <w:t>Financial</w:t>
            </w:r>
          </w:p>
        </w:tc>
        <w:tc>
          <w:tcPr>
            <w:tcW w:w="2360" w:type="dxa"/>
            <w:vAlign w:val="bottom"/>
          </w:tcPr>
          <w:p>
            <w:pPr>
              <w:ind w:left="800"/>
              <w:spacing w:after="0"/>
              <w:rPr>
                <w:sz w:val="20"/>
                <w:szCs w:val="20"/>
                <w:color w:val="auto"/>
              </w:rPr>
            </w:pPr>
            <w:r>
              <w:rPr>
                <w:rFonts w:ascii="Arial" w:cs="Arial" w:eastAsia="Arial" w:hAnsi="Arial"/>
                <w:sz w:val="14"/>
                <w:szCs w:val="14"/>
                <w:color w:val="auto"/>
              </w:rPr>
              <w:t>Risk</w:t>
            </w:r>
          </w:p>
        </w:tc>
        <w:tc>
          <w:tcPr>
            <w:tcW w:w="2300" w:type="dxa"/>
            <w:vAlign w:val="bottom"/>
          </w:tcPr>
          <w:p>
            <w:pPr>
              <w:spacing w:after="0"/>
              <w:rPr>
                <w:sz w:val="14"/>
                <w:szCs w:val="14"/>
                <w:color w:val="auto"/>
              </w:rPr>
            </w:pPr>
          </w:p>
        </w:tc>
        <w:tc>
          <w:tcPr>
            <w:tcW w:w="1620" w:type="dxa"/>
            <w:vAlign w:val="bottom"/>
          </w:tcPr>
          <w:p>
            <w:pPr>
              <w:ind w:left="740"/>
              <w:spacing w:after="0"/>
              <w:rPr>
                <w:sz w:val="20"/>
                <w:szCs w:val="20"/>
                <w:color w:val="auto"/>
              </w:rPr>
            </w:pPr>
            <w:r>
              <w:rPr>
                <w:rFonts w:ascii="Arial" w:cs="Arial" w:eastAsia="Arial" w:hAnsi="Arial"/>
                <w:sz w:val="14"/>
                <w:szCs w:val="14"/>
                <w:color w:val="auto"/>
              </w:rPr>
              <w:t>IT &amp;</w:t>
            </w:r>
          </w:p>
        </w:tc>
      </w:tr>
      <w:tr>
        <w:trPr>
          <w:trHeight w:val="190"/>
        </w:trPr>
        <w:tc>
          <w:tcPr>
            <w:tcW w:w="1960" w:type="dxa"/>
            <w:vAlign w:val="bottom"/>
          </w:tcPr>
          <w:p>
            <w:pPr>
              <w:spacing w:after="0"/>
              <w:rPr>
                <w:sz w:val="20"/>
                <w:szCs w:val="20"/>
                <w:color w:val="auto"/>
              </w:rPr>
            </w:pPr>
            <w:r>
              <w:rPr>
                <w:rFonts w:ascii="Arial" w:cs="Arial" w:eastAsia="Arial" w:hAnsi="Arial"/>
                <w:sz w:val="14"/>
                <w:szCs w:val="14"/>
                <w:color w:val="auto"/>
              </w:rPr>
              <w:t>Leadership</w:t>
            </w:r>
          </w:p>
        </w:tc>
        <w:tc>
          <w:tcPr>
            <w:tcW w:w="2000" w:type="dxa"/>
            <w:vAlign w:val="bottom"/>
          </w:tcPr>
          <w:p>
            <w:pPr>
              <w:ind w:left="500"/>
              <w:spacing w:after="0"/>
              <w:rPr>
                <w:sz w:val="20"/>
                <w:szCs w:val="20"/>
                <w:color w:val="auto"/>
              </w:rPr>
            </w:pPr>
            <w:r>
              <w:rPr>
                <w:rFonts w:ascii="Arial" w:cs="Arial" w:eastAsia="Arial" w:hAnsi="Arial"/>
                <w:sz w:val="14"/>
                <w:szCs w:val="14"/>
                <w:color w:val="auto"/>
              </w:rPr>
              <w:t>Acumen</w:t>
            </w:r>
          </w:p>
        </w:tc>
        <w:tc>
          <w:tcPr>
            <w:tcW w:w="2360" w:type="dxa"/>
            <w:vAlign w:val="bottom"/>
          </w:tcPr>
          <w:p>
            <w:pPr>
              <w:ind w:left="800"/>
              <w:spacing w:after="0"/>
              <w:rPr>
                <w:sz w:val="20"/>
                <w:szCs w:val="20"/>
                <w:color w:val="auto"/>
              </w:rPr>
            </w:pPr>
            <w:r>
              <w:rPr>
                <w:rFonts w:ascii="Arial" w:cs="Arial" w:eastAsia="Arial" w:hAnsi="Arial"/>
                <w:sz w:val="14"/>
                <w:szCs w:val="14"/>
                <w:color w:val="auto"/>
              </w:rPr>
              <w:t>Management</w:t>
            </w:r>
          </w:p>
        </w:tc>
        <w:tc>
          <w:tcPr>
            <w:tcW w:w="2300" w:type="dxa"/>
            <w:vAlign w:val="bottom"/>
          </w:tcPr>
          <w:p>
            <w:pPr>
              <w:ind w:left="740"/>
              <w:spacing w:after="0"/>
              <w:rPr>
                <w:sz w:val="20"/>
                <w:szCs w:val="20"/>
                <w:color w:val="auto"/>
              </w:rPr>
            </w:pPr>
            <w:r>
              <w:rPr>
                <w:rFonts w:ascii="Arial" w:cs="Arial" w:eastAsia="Arial" w:hAnsi="Arial"/>
                <w:sz w:val="14"/>
                <w:szCs w:val="14"/>
                <w:color w:val="auto"/>
              </w:rPr>
              <w:t>Marketing</w:t>
            </w:r>
          </w:p>
        </w:tc>
        <w:tc>
          <w:tcPr>
            <w:tcW w:w="1620" w:type="dxa"/>
            <w:vAlign w:val="bottom"/>
          </w:tcPr>
          <w:p>
            <w:pPr>
              <w:ind w:left="740"/>
              <w:spacing w:after="0"/>
              <w:rPr>
                <w:sz w:val="20"/>
                <w:szCs w:val="20"/>
                <w:color w:val="auto"/>
              </w:rPr>
            </w:pPr>
            <w:r>
              <w:rPr>
                <w:rFonts w:ascii="Arial" w:cs="Arial" w:eastAsia="Arial" w:hAnsi="Arial"/>
                <w:sz w:val="14"/>
                <w:szCs w:val="14"/>
                <w:color w:val="auto"/>
              </w:rPr>
              <w:t>Cybersecurity</w:t>
            </w:r>
          </w:p>
        </w:tc>
      </w:tr>
      <w:tr>
        <w:trPr>
          <w:trHeight w:val="255"/>
        </w:trPr>
        <w:tc>
          <w:tcPr>
            <w:tcW w:w="1960" w:type="dxa"/>
            <w:vAlign w:val="bottom"/>
          </w:tcPr>
          <w:p>
            <w:pPr>
              <w:spacing w:after="0"/>
              <w:rPr>
                <w:sz w:val="20"/>
                <w:szCs w:val="20"/>
                <w:color w:val="auto"/>
              </w:rPr>
            </w:pPr>
            <w:r>
              <w:rPr>
                <w:rFonts w:ascii="Arial" w:cs="Arial" w:eastAsia="Arial" w:hAnsi="Arial"/>
                <w:sz w:val="14"/>
                <w:szCs w:val="14"/>
                <w:color w:val="auto"/>
              </w:rPr>
              <w:t>Public Company Board</w:t>
            </w:r>
          </w:p>
        </w:tc>
        <w:tc>
          <w:tcPr>
            <w:tcW w:w="2000" w:type="dxa"/>
            <w:vAlign w:val="bottom"/>
          </w:tcPr>
          <w:p>
            <w:pPr>
              <w:ind w:left="500"/>
              <w:spacing w:after="0"/>
              <w:rPr>
                <w:sz w:val="20"/>
                <w:szCs w:val="20"/>
                <w:color w:val="auto"/>
              </w:rPr>
            </w:pPr>
            <w:r>
              <w:rPr>
                <w:rFonts w:ascii="Arial" w:cs="Arial" w:eastAsia="Arial" w:hAnsi="Arial"/>
                <w:sz w:val="14"/>
                <w:szCs w:val="14"/>
                <w:color w:val="auto"/>
              </w:rPr>
              <w:t>Operations</w:t>
            </w:r>
          </w:p>
        </w:tc>
        <w:tc>
          <w:tcPr>
            <w:tcW w:w="2360" w:type="dxa"/>
            <w:vAlign w:val="bottom"/>
          </w:tcPr>
          <w:p>
            <w:pPr>
              <w:ind w:left="800"/>
              <w:spacing w:after="0"/>
              <w:rPr>
                <w:sz w:val="20"/>
                <w:szCs w:val="20"/>
                <w:color w:val="auto"/>
              </w:rPr>
            </w:pPr>
            <w:r>
              <w:rPr>
                <w:rFonts w:ascii="Arial" w:cs="Arial" w:eastAsia="Arial" w:hAnsi="Arial"/>
                <w:sz w:val="14"/>
                <w:szCs w:val="14"/>
                <w:color w:val="auto"/>
              </w:rPr>
              <w:t>Corporate</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4"/>
                <w:szCs w:val="14"/>
                <w:color w:val="auto"/>
              </w:rPr>
              <w:t>Experience</w:t>
            </w:r>
          </w:p>
        </w:tc>
        <w:tc>
          <w:tcPr>
            <w:tcW w:w="2000" w:type="dxa"/>
            <w:vAlign w:val="bottom"/>
          </w:tcPr>
          <w:p>
            <w:pPr>
              <w:ind w:left="500"/>
              <w:spacing w:after="0"/>
              <w:rPr>
                <w:sz w:val="20"/>
                <w:szCs w:val="20"/>
                <w:color w:val="auto"/>
              </w:rPr>
            </w:pPr>
            <w:r>
              <w:rPr>
                <w:rFonts w:ascii="Arial" w:cs="Arial" w:eastAsia="Arial" w:hAnsi="Arial"/>
                <w:sz w:val="14"/>
                <w:szCs w:val="14"/>
                <w:color w:val="auto"/>
              </w:rPr>
              <w:t>&amp; Strategy</w:t>
            </w:r>
          </w:p>
        </w:tc>
        <w:tc>
          <w:tcPr>
            <w:tcW w:w="2360" w:type="dxa"/>
            <w:vAlign w:val="bottom"/>
          </w:tcPr>
          <w:p>
            <w:pPr>
              <w:ind w:left="800"/>
              <w:spacing w:after="0"/>
              <w:rPr>
                <w:sz w:val="20"/>
                <w:szCs w:val="20"/>
                <w:color w:val="auto"/>
              </w:rPr>
            </w:pPr>
            <w:r>
              <w:rPr>
                <w:rFonts w:ascii="Arial" w:cs="Arial" w:eastAsia="Arial" w:hAnsi="Arial"/>
                <w:sz w:val="14"/>
                <w:szCs w:val="14"/>
                <w:color w:val="auto"/>
              </w:rPr>
              <w:t>Governance</w:t>
            </w:r>
          </w:p>
        </w:tc>
        <w:tc>
          <w:tcPr>
            <w:tcW w:w="2300" w:type="dxa"/>
            <w:vAlign w:val="bottom"/>
          </w:tcPr>
          <w:p>
            <w:pPr>
              <w:ind w:left="740"/>
              <w:spacing w:after="0"/>
              <w:rPr>
                <w:sz w:val="20"/>
                <w:szCs w:val="20"/>
                <w:color w:val="auto"/>
              </w:rPr>
            </w:pPr>
            <w:r>
              <w:rPr>
                <w:rFonts w:ascii="Arial" w:cs="Arial" w:eastAsia="Arial" w:hAnsi="Arial"/>
                <w:sz w:val="14"/>
                <w:szCs w:val="14"/>
                <w:color w:val="auto"/>
              </w:rPr>
              <w:t>Former CEO</w:t>
            </w:r>
          </w:p>
        </w:tc>
        <w:tc>
          <w:tcPr>
            <w:tcW w:w="1620" w:type="dxa"/>
            <w:vAlign w:val="bottom"/>
          </w:tcPr>
          <w:p>
            <w:pPr>
              <w:ind w:left="740"/>
              <w:spacing w:after="0"/>
              <w:rPr>
                <w:sz w:val="20"/>
                <w:szCs w:val="20"/>
                <w:color w:val="auto"/>
              </w:rPr>
            </w:pPr>
            <w:r>
              <w:rPr>
                <w:rFonts w:ascii="Arial" w:cs="Arial" w:eastAsia="Arial" w:hAnsi="Arial"/>
                <w:sz w:val="14"/>
                <w:szCs w:val="14"/>
                <w:color w:val="auto"/>
              </w:rPr>
              <w:t>Diversity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-431800</wp:posOffset>
            </wp:positionV>
            <wp:extent cx="12827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-422910</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-466090</wp:posOffset>
            </wp:positionV>
            <wp:extent cx="1714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-483235</wp:posOffset>
            </wp:positionV>
            <wp:extent cx="12890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-457200</wp:posOffset>
            </wp:positionV>
            <wp:extent cx="14605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-148590</wp:posOffset>
            </wp:positionV>
            <wp:extent cx="1625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-174625</wp:posOffset>
            </wp:positionV>
            <wp:extent cx="17145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-200025</wp:posOffset>
            </wp:positionV>
            <wp:extent cx="13716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-174625</wp:posOffset>
            </wp:positionV>
            <wp:extent cx="154305"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-157480</wp:posOffset>
            </wp:positionV>
            <wp:extent cx="188595"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8595"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7029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right"/>
        <w:ind w:right="240"/>
        <w:spacing w:after="0"/>
        <w:rPr>
          <w:sz w:val="20"/>
          <w:szCs w:val="20"/>
          <w:color w:val="auto"/>
        </w:rPr>
      </w:pPr>
      <w:r>
        <w:rPr>
          <w:rFonts w:ascii="Arial" w:cs="Arial" w:eastAsia="Arial" w:hAnsi="Arial"/>
          <w:sz w:val="16"/>
          <w:szCs w:val="16"/>
          <w:b w:val="1"/>
          <w:bCs w:val="1"/>
          <w:color w:val="auto"/>
        </w:rPr>
        <w:t>17</w:t>
      </w:r>
    </w:p>
    <w:p>
      <w:pPr>
        <w:sectPr>
          <w:pgSz w:w="11900" w:h="16838" w:orient="portrait"/>
          <w:cols w:equalWidth="0" w:num="1">
            <w:col w:w="11140"/>
          </w:cols>
          <w:pgMar w:left="320" w:top="455" w:right="4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3077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307784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158115</wp:posOffset>
            </wp:positionV>
            <wp:extent cx="16319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000000"/>
                        </a:clrFrom>
                        <a:clrTo>
                          <a:srgbClr val="000000">
                            <a:alpha val="0"/>
                          </a:srgbClr>
                        </a:clrTo>
                      </a:clrChange>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158115</wp:posOffset>
            </wp:positionV>
            <wp:extent cx="16319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132080</wp:posOffset>
            </wp:positionV>
            <wp:extent cx="17145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000000"/>
                        </a:clrFrom>
                        <a:clrTo>
                          <a:srgbClr val="000000">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132080</wp:posOffset>
            </wp:positionV>
            <wp:extent cx="17145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106680</wp:posOffset>
            </wp:positionV>
            <wp:extent cx="13716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000000"/>
                        </a:clrFrom>
                        <a:clrTo>
                          <a:srgbClr val="000000">
                            <a:alpha val="0"/>
                          </a:srgbClr>
                        </a:clrTo>
                      </a:clrChange>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106680</wp:posOffset>
            </wp:positionV>
            <wp:extent cx="13716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132080</wp:posOffset>
            </wp:positionV>
            <wp:extent cx="15430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000000"/>
                        </a:clrFrom>
                        <a:clrTo>
                          <a:srgbClr val="000000">
                            <a:alpha val="0"/>
                          </a:srgbClr>
                        </a:clrTo>
                      </a:clrChange>
                      <a:extLst>
                        <a:ext uri="{28A0092B-C50C-407E-A947-70E740481C1C}"/>
                      </a:extLst>
                    </a:blip>
                    <a:srcRect/>
                    <a:stretch>
                      <a:fillRect/>
                    </a:stretch>
                  </pic:blipFill>
                  <pic:spPr bwMode="auto">
                    <a:xfrm>
                      <a:off x="0" y="0"/>
                      <a:ext cx="154305" cy="163195"/>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132080</wp:posOffset>
            </wp:positionV>
            <wp:extent cx="15430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430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Kenneth T. McBride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Director</w:t>
      </w:r>
    </w:p>
    <w:p>
      <w:pPr>
        <w:spacing w:after="0" w:line="111"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Mr. McBride has been a member of our Board of Directors since 2022. Mr. McBride served as the Chief Executive Officer of Stamps.com Inc. from August 2001 to November 2021 and as Chairman of the Board of Stamps.com Inc. from January 2012 to November 2021. Previously at Stamps.com Inc., he served as President from 2001 until January 2012 and as Chief Financial Officer from August 2000 to January 2004. From May 2015 through November 2018, Mr. McBride served on the Board of Directors of CafePress Inc., a pioneer in the customized retail products industry. From August 2012 through January 2014, Mr. McBride served on the Board of Directors of LegalZoom.com, Inc., a provider of Internet-based legal services for small businesses and consumers, where he also served as the Chairman of the Audit Committee and as a member of the Compensation Committee. Mr. McBride holds a B.S.E.E., with honors, and an M.S.E.E. in Electrical Engineering from Stanford University. Mr. McBride also holds an M.B.A from the Graduate School of Business at Stanford University.</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BOARDS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4032885</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140"/>
          </w:cols>
          <w:pgMar w:left="320" w:top="455"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CEO</w:t>
            </w:r>
          </w:p>
        </w:tc>
        <w:tc>
          <w:tcPr>
            <w:tcW w:w="2000" w:type="dxa"/>
            <w:vAlign w:val="bottom"/>
          </w:tcPr>
          <w:p>
            <w:pPr>
              <w:ind w:left="500"/>
              <w:spacing w:after="0"/>
              <w:rPr>
                <w:sz w:val="20"/>
                <w:szCs w:val="20"/>
                <w:color w:val="auto"/>
              </w:rPr>
            </w:pPr>
            <w:r>
              <w:rPr>
                <w:rFonts w:ascii="Arial" w:cs="Arial" w:eastAsia="Arial" w:hAnsi="Arial"/>
                <w:sz w:val="14"/>
                <w:szCs w:val="14"/>
                <w:color w:val="auto"/>
              </w:rPr>
              <w:t>Financial</w:t>
            </w:r>
          </w:p>
        </w:tc>
        <w:tc>
          <w:tcPr>
            <w:tcW w:w="2360" w:type="dxa"/>
            <w:vAlign w:val="bottom"/>
          </w:tcPr>
          <w:p>
            <w:pPr>
              <w:ind w:left="800"/>
              <w:spacing w:after="0"/>
              <w:rPr>
                <w:sz w:val="20"/>
                <w:szCs w:val="20"/>
                <w:color w:val="auto"/>
              </w:rPr>
            </w:pPr>
            <w:r>
              <w:rPr>
                <w:rFonts w:ascii="Arial" w:cs="Arial" w:eastAsia="Arial" w:hAnsi="Arial"/>
                <w:sz w:val="14"/>
                <w:szCs w:val="14"/>
                <w:color w:val="auto"/>
              </w:rPr>
              <w:t>Risk</w:t>
            </w:r>
          </w:p>
        </w:tc>
        <w:tc>
          <w:tcPr>
            <w:tcW w:w="2300" w:type="dxa"/>
            <w:vAlign w:val="bottom"/>
          </w:tcPr>
          <w:p>
            <w:pPr>
              <w:spacing w:after="0"/>
              <w:rPr>
                <w:sz w:val="14"/>
                <w:szCs w:val="14"/>
                <w:color w:val="auto"/>
              </w:rPr>
            </w:pPr>
          </w:p>
        </w:tc>
        <w:tc>
          <w:tcPr>
            <w:tcW w:w="1620" w:type="dxa"/>
            <w:vAlign w:val="bottom"/>
          </w:tcPr>
          <w:p>
            <w:pPr>
              <w:ind w:left="740"/>
              <w:spacing w:after="0"/>
              <w:rPr>
                <w:sz w:val="20"/>
                <w:szCs w:val="20"/>
                <w:color w:val="auto"/>
              </w:rPr>
            </w:pPr>
            <w:r>
              <w:rPr>
                <w:rFonts w:ascii="Arial" w:cs="Arial" w:eastAsia="Arial" w:hAnsi="Arial"/>
                <w:sz w:val="14"/>
                <w:szCs w:val="14"/>
                <w:color w:val="auto"/>
              </w:rPr>
              <w:t>IT &amp;</w:t>
            </w:r>
          </w:p>
        </w:tc>
      </w:tr>
      <w:tr>
        <w:trPr>
          <w:trHeight w:val="190"/>
        </w:trPr>
        <w:tc>
          <w:tcPr>
            <w:tcW w:w="1960" w:type="dxa"/>
            <w:vAlign w:val="bottom"/>
          </w:tcPr>
          <w:p>
            <w:pPr>
              <w:spacing w:after="0"/>
              <w:rPr>
                <w:sz w:val="20"/>
                <w:szCs w:val="20"/>
                <w:color w:val="auto"/>
              </w:rPr>
            </w:pPr>
            <w:r>
              <w:rPr>
                <w:rFonts w:ascii="Arial" w:cs="Arial" w:eastAsia="Arial" w:hAnsi="Arial"/>
                <w:sz w:val="14"/>
                <w:szCs w:val="14"/>
                <w:color w:val="auto"/>
              </w:rPr>
              <w:t>Leadership</w:t>
            </w:r>
          </w:p>
        </w:tc>
        <w:tc>
          <w:tcPr>
            <w:tcW w:w="2000" w:type="dxa"/>
            <w:vAlign w:val="bottom"/>
          </w:tcPr>
          <w:p>
            <w:pPr>
              <w:ind w:left="500"/>
              <w:spacing w:after="0"/>
              <w:rPr>
                <w:sz w:val="20"/>
                <w:szCs w:val="20"/>
                <w:color w:val="auto"/>
              </w:rPr>
            </w:pPr>
            <w:r>
              <w:rPr>
                <w:rFonts w:ascii="Arial" w:cs="Arial" w:eastAsia="Arial" w:hAnsi="Arial"/>
                <w:sz w:val="14"/>
                <w:szCs w:val="14"/>
                <w:color w:val="auto"/>
              </w:rPr>
              <w:t>Acumen</w:t>
            </w:r>
          </w:p>
        </w:tc>
        <w:tc>
          <w:tcPr>
            <w:tcW w:w="2360" w:type="dxa"/>
            <w:vAlign w:val="bottom"/>
          </w:tcPr>
          <w:p>
            <w:pPr>
              <w:ind w:left="800"/>
              <w:spacing w:after="0"/>
              <w:rPr>
                <w:sz w:val="20"/>
                <w:szCs w:val="20"/>
                <w:color w:val="auto"/>
              </w:rPr>
            </w:pPr>
            <w:r>
              <w:rPr>
                <w:rFonts w:ascii="Arial" w:cs="Arial" w:eastAsia="Arial" w:hAnsi="Arial"/>
                <w:sz w:val="14"/>
                <w:szCs w:val="14"/>
                <w:color w:val="auto"/>
              </w:rPr>
              <w:t>Management</w:t>
            </w:r>
          </w:p>
        </w:tc>
        <w:tc>
          <w:tcPr>
            <w:tcW w:w="2300" w:type="dxa"/>
            <w:vAlign w:val="bottom"/>
          </w:tcPr>
          <w:p>
            <w:pPr>
              <w:ind w:left="740"/>
              <w:spacing w:after="0"/>
              <w:rPr>
                <w:sz w:val="20"/>
                <w:szCs w:val="20"/>
                <w:color w:val="auto"/>
              </w:rPr>
            </w:pPr>
            <w:r>
              <w:rPr>
                <w:rFonts w:ascii="Arial" w:cs="Arial" w:eastAsia="Arial" w:hAnsi="Arial"/>
                <w:sz w:val="14"/>
                <w:szCs w:val="14"/>
                <w:color w:val="auto"/>
              </w:rPr>
              <w:t>Marketing</w:t>
            </w:r>
          </w:p>
        </w:tc>
        <w:tc>
          <w:tcPr>
            <w:tcW w:w="1620" w:type="dxa"/>
            <w:vAlign w:val="bottom"/>
          </w:tcPr>
          <w:p>
            <w:pPr>
              <w:ind w:left="740"/>
              <w:spacing w:after="0"/>
              <w:rPr>
                <w:sz w:val="20"/>
                <w:szCs w:val="20"/>
                <w:color w:val="auto"/>
              </w:rPr>
            </w:pPr>
            <w:r>
              <w:rPr>
                <w:rFonts w:ascii="Arial" w:cs="Arial" w:eastAsia="Arial" w:hAnsi="Arial"/>
                <w:sz w:val="14"/>
                <w:szCs w:val="14"/>
                <w:color w:val="auto"/>
              </w:rPr>
              <w:t>Cybersecurity</w:t>
            </w:r>
          </w:p>
        </w:tc>
      </w:tr>
      <w:tr>
        <w:trPr>
          <w:trHeight w:val="255"/>
        </w:trPr>
        <w:tc>
          <w:tcPr>
            <w:tcW w:w="1960" w:type="dxa"/>
            <w:vAlign w:val="bottom"/>
          </w:tcPr>
          <w:p>
            <w:pPr>
              <w:spacing w:after="0"/>
              <w:rPr>
                <w:sz w:val="20"/>
                <w:szCs w:val="20"/>
                <w:color w:val="auto"/>
              </w:rPr>
            </w:pPr>
            <w:r>
              <w:rPr>
                <w:rFonts w:ascii="Arial" w:cs="Arial" w:eastAsia="Arial" w:hAnsi="Arial"/>
                <w:sz w:val="14"/>
                <w:szCs w:val="14"/>
                <w:color w:val="auto"/>
              </w:rPr>
              <w:t>Public Company Board</w:t>
            </w:r>
          </w:p>
        </w:tc>
        <w:tc>
          <w:tcPr>
            <w:tcW w:w="2000" w:type="dxa"/>
            <w:vAlign w:val="bottom"/>
          </w:tcPr>
          <w:p>
            <w:pPr>
              <w:ind w:left="500"/>
              <w:spacing w:after="0"/>
              <w:rPr>
                <w:sz w:val="20"/>
                <w:szCs w:val="20"/>
                <w:color w:val="auto"/>
              </w:rPr>
            </w:pPr>
            <w:r>
              <w:rPr>
                <w:rFonts w:ascii="Arial" w:cs="Arial" w:eastAsia="Arial" w:hAnsi="Arial"/>
                <w:sz w:val="14"/>
                <w:szCs w:val="14"/>
                <w:color w:val="auto"/>
              </w:rPr>
              <w:t>Operations</w:t>
            </w:r>
          </w:p>
        </w:tc>
        <w:tc>
          <w:tcPr>
            <w:tcW w:w="2360" w:type="dxa"/>
            <w:vAlign w:val="bottom"/>
          </w:tcPr>
          <w:p>
            <w:pPr>
              <w:ind w:left="800"/>
              <w:spacing w:after="0"/>
              <w:rPr>
                <w:sz w:val="20"/>
                <w:szCs w:val="20"/>
                <w:color w:val="auto"/>
              </w:rPr>
            </w:pPr>
            <w:r>
              <w:rPr>
                <w:rFonts w:ascii="Arial" w:cs="Arial" w:eastAsia="Arial" w:hAnsi="Arial"/>
                <w:sz w:val="14"/>
                <w:szCs w:val="14"/>
                <w:color w:val="auto"/>
              </w:rPr>
              <w:t>Corporate</w:t>
            </w:r>
          </w:p>
        </w:tc>
        <w:tc>
          <w:tcPr>
            <w:tcW w:w="23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4"/>
                <w:szCs w:val="14"/>
                <w:color w:val="auto"/>
              </w:rPr>
              <w:t>Experience</w:t>
            </w:r>
          </w:p>
        </w:tc>
        <w:tc>
          <w:tcPr>
            <w:tcW w:w="2000" w:type="dxa"/>
            <w:vAlign w:val="bottom"/>
          </w:tcPr>
          <w:p>
            <w:pPr>
              <w:ind w:left="500"/>
              <w:spacing w:after="0"/>
              <w:rPr>
                <w:sz w:val="20"/>
                <w:szCs w:val="20"/>
                <w:color w:val="auto"/>
              </w:rPr>
            </w:pPr>
            <w:r>
              <w:rPr>
                <w:rFonts w:ascii="Arial" w:cs="Arial" w:eastAsia="Arial" w:hAnsi="Arial"/>
                <w:sz w:val="14"/>
                <w:szCs w:val="14"/>
                <w:color w:val="auto"/>
              </w:rPr>
              <w:t>&amp; Strategy</w:t>
            </w:r>
          </w:p>
        </w:tc>
        <w:tc>
          <w:tcPr>
            <w:tcW w:w="2360" w:type="dxa"/>
            <w:vAlign w:val="bottom"/>
          </w:tcPr>
          <w:p>
            <w:pPr>
              <w:ind w:left="800"/>
              <w:spacing w:after="0"/>
              <w:rPr>
                <w:sz w:val="20"/>
                <w:szCs w:val="20"/>
                <w:color w:val="auto"/>
              </w:rPr>
            </w:pPr>
            <w:r>
              <w:rPr>
                <w:rFonts w:ascii="Arial" w:cs="Arial" w:eastAsia="Arial" w:hAnsi="Arial"/>
                <w:sz w:val="14"/>
                <w:szCs w:val="14"/>
                <w:color w:val="auto"/>
              </w:rPr>
              <w:t>Governance</w:t>
            </w:r>
          </w:p>
        </w:tc>
        <w:tc>
          <w:tcPr>
            <w:tcW w:w="2300" w:type="dxa"/>
            <w:vAlign w:val="bottom"/>
          </w:tcPr>
          <w:p>
            <w:pPr>
              <w:ind w:left="740"/>
              <w:spacing w:after="0"/>
              <w:rPr>
                <w:sz w:val="20"/>
                <w:szCs w:val="20"/>
                <w:color w:val="auto"/>
              </w:rPr>
            </w:pPr>
            <w:r>
              <w:rPr>
                <w:rFonts w:ascii="Arial" w:cs="Arial" w:eastAsia="Arial" w:hAnsi="Arial"/>
                <w:sz w:val="14"/>
                <w:szCs w:val="14"/>
                <w:color w:val="auto"/>
              </w:rPr>
              <w:t>Former CEO</w:t>
            </w:r>
          </w:p>
        </w:tc>
        <w:tc>
          <w:tcPr>
            <w:tcW w:w="1620" w:type="dxa"/>
            <w:vAlign w:val="bottom"/>
          </w:tcPr>
          <w:p>
            <w:pPr>
              <w:ind w:left="740"/>
              <w:spacing w:after="0"/>
              <w:rPr>
                <w:sz w:val="20"/>
                <w:szCs w:val="20"/>
                <w:color w:val="auto"/>
              </w:rPr>
            </w:pPr>
            <w:r>
              <w:rPr>
                <w:rFonts w:ascii="Arial" w:cs="Arial" w:eastAsia="Arial" w:hAnsi="Arial"/>
                <w:sz w:val="14"/>
                <w:szCs w:val="14"/>
                <w:color w:val="auto"/>
              </w:rPr>
              <w:t>Diversity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-431800</wp:posOffset>
            </wp:positionV>
            <wp:extent cx="12827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-422910</wp:posOffset>
            </wp:positionV>
            <wp:extent cx="128905"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-466090</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-483235</wp:posOffset>
            </wp:positionV>
            <wp:extent cx="12890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-457200</wp:posOffset>
            </wp:positionV>
            <wp:extent cx="14605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-148590</wp:posOffset>
            </wp:positionV>
            <wp:extent cx="16256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1371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-174625</wp:posOffset>
            </wp:positionV>
            <wp:extent cx="17145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16256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-200025</wp:posOffset>
            </wp:positionV>
            <wp:extent cx="13716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-174625</wp:posOffset>
            </wp:positionV>
            <wp:extent cx="154305"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-157480</wp:posOffset>
            </wp:positionV>
            <wp:extent cx="18859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7029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080" w:hanging="741"/>
        <w:spacing w:after="0"/>
        <w:tabs>
          <w:tab w:leader="none" w:pos="10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0840"/>
          </w:cols>
          <w:pgMar w:left="320" w:top="455" w:right="7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BOARD MATTERS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Board Matters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Director Nominations and Appointments</w:t>
      </w:r>
    </w:p>
    <w:p>
      <w:pPr>
        <w:spacing w:after="0" w:line="249" w:lineRule="exact"/>
        <w:rPr>
          <w:sz w:val="20"/>
          <w:szCs w:val="20"/>
          <w:color w:val="auto"/>
        </w:rPr>
      </w:pPr>
    </w:p>
    <w:p>
      <w:pPr>
        <w:ind w:left="120" w:right="20"/>
        <w:spacing w:after="0" w:line="307" w:lineRule="auto"/>
        <w:rPr>
          <w:sz w:val="20"/>
          <w:szCs w:val="20"/>
          <w:color w:val="auto"/>
        </w:rPr>
      </w:pPr>
      <w:r>
        <w:rPr>
          <w:rFonts w:ascii="Arial" w:cs="Arial" w:eastAsia="Arial" w:hAnsi="Arial"/>
          <w:sz w:val="16"/>
          <w:szCs w:val="16"/>
          <w:color w:val="auto"/>
        </w:rPr>
        <w:t>Our Board seeks members from diverse professional and personal backgrounds who combine a broad spectrum of experience and expertise with a reputation for integrity. In assessing director candidates to fulfill the foregoing, our Board considers those factors it deems appropriate in the context of the needs of the Company and the overall composition of our Board. These factors include the individual’s age, skills, diversity of experience and other background (including gender and race/ethnicity), demonstrated leadership, the ability to exercise sound judgment and, as applicable, independence. Our Board selects nominees for election as directors at each annual meeting of stockholders. Our Board evaluates candidates to fill any vacancies during the year on a similar basis.</w:t>
      </w:r>
    </w:p>
    <w:p>
      <w:pPr>
        <w:spacing w:after="0" w:line="181" w:lineRule="exact"/>
        <w:rPr>
          <w:sz w:val="20"/>
          <w:szCs w:val="20"/>
          <w:color w:val="auto"/>
        </w:rPr>
      </w:pPr>
    </w:p>
    <w:p>
      <w:pPr>
        <w:ind w:left="120" w:right="80"/>
        <w:spacing w:after="0" w:line="319" w:lineRule="auto"/>
        <w:rPr>
          <w:sz w:val="20"/>
          <w:szCs w:val="20"/>
          <w:color w:val="auto"/>
        </w:rPr>
      </w:pPr>
      <w:r>
        <w:rPr>
          <w:rFonts w:ascii="Arial" w:cs="Arial" w:eastAsia="Arial" w:hAnsi="Arial"/>
          <w:sz w:val="16"/>
          <w:szCs w:val="16"/>
          <w:color w:val="auto"/>
        </w:rPr>
        <w:t>Mr. James D. Robinson, III, a long-standing member of our Board, announced his retirement from the Board effective as of March 31, 2022. We are grateful for Mr. Robinson’s counsel and insight during his many years of service on our Board. Following Mr. Robinson’s resignation, the Board appointed Kenneth T. McBride to serve as a member of the Board effective as of April 1, 2022.</w:t>
      </w:r>
    </w:p>
    <w:p>
      <w:pPr>
        <w:spacing w:after="0" w:line="171" w:lineRule="exact"/>
        <w:rPr>
          <w:sz w:val="20"/>
          <w:szCs w:val="20"/>
          <w:color w:val="auto"/>
        </w:rPr>
      </w:pPr>
    </w:p>
    <w:p>
      <w:pPr>
        <w:ind w:left="120" w:right="40"/>
        <w:spacing w:after="0" w:line="339" w:lineRule="auto"/>
        <w:rPr>
          <w:sz w:val="20"/>
          <w:szCs w:val="20"/>
          <w:color w:val="auto"/>
        </w:rPr>
      </w:pPr>
      <w:r>
        <w:rPr>
          <w:rFonts w:ascii="Arial" w:cs="Arial" w:eastAsia="Arial" w:hAnsi="Arial"/>
          <w:sz w:val="16"/>
          <w:szCs w:val="16"/>
          <w:color w:val="auto"/>
        </w:rPr>
        <w:t>Our Board considers candidates from any reasonable source, including recommendations from our existing directors, management, stockholders and any third-party search firms engaged, and does not evaluate candidates differently based on the source of the recommendation.</w:t>
      </w:r>
    </w:p>
    <w:p>
      <w:pPr>
        <w:spacing w:after="0" w:line="155" w:lineRule="exact"/>
        <w:rPr>
          <w:sz w:val="20"/>
          <w:szCs w:val="20"/>
          <w:color w:val="auto"/>
        </w:rPr>
      </w:pPr>
    </w:p>
    <w:p>
      <w:pPr>
        <w:ind w:left="120" w:right="600"/>
        <w:spacing w:after="0" w:line="318" w:lineRule="auto"/>
        <w:rPr>
          <w:sz w:val="20"/>
          <w:szCs w:val="20"/>
          <w:color w:val="auto"/>
        </w:rPr>
      </w:pPr>
      <w:r>
        <w:rPr>
          <w:rFonts w:ascii="Arial" w:cs="Arial" w:eastAsia="Arial" w:hAnsi="Arial"/>
          <w:sz w:val="16"/>
          <w:szCs w:val="16"/>
          <w:color w:val="auto"/>
        </w:rPr>
        <w:t>Stockholders may recommend director candidates for consideration by our Board by giving written notice of the recommendation to the Corporate Secretary, mailed to: 55 Hawthorne Street,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San Francisco, California 94105.</w:t>
      </w:r>
    </w:p>
    <w:p>
      <w:pPr>
        <w:spacing w:after="0" w:line="105" w:lineRule="exact"/>
        <w:rPr>
          <w:sz w:val="20"/>
          <w:szCs w:val="20"/>
          <w:color w:val="auto"/>
        </w:rPr>
      </w:pPr>
    </w:p>
    <w:p>
      <w:pPr>
        <w:ind w:left="120" w:right="920"/>
        <w:spacing w:after="0" w:line="270" w:lineRule="auto"/>
        <w:rPr>
          <w:sz w:val="20"/>
          <w:szCs w:val="20"/>
          <w:color w:val="auto"/>
        </w:rPr>
      </w:pPr>
      <w:r>
        <w:rPr>
          <w:rFonts w:ascii="Arial" w:cs="Arial" w:eastAsia="Arial" w:hAnsi="Arial"/>
          <w:sz w:val="20"/>
          <w:szCs w:val="20"/>
          <w:b w:val="1"/>
          <w:bCs w:val="1"/>
          <w:color w:val="auto"/>
        </w:rPr>
        <w:t>Director Qualifications—A Balanced, Skilled Board Serving the Long-Term Interests of the Company and Its Stockholders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believes that all Board members should possess all of the following personal characteristics:</w:t>
      </w:r>
    </w:p>
    <w:p>
      <w:pPr>
        <w:spacing w:after="0" w:line="167"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Integrity: Directors should demonstrate high ethical standards and integrity in their personal and professional dealings;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Accountability: Directors should be accountable for their decisions as directors;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Judgment: Directors should possess the ability to provide wise and thoughtful counsel on a broad range of issues;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Responsibility: Directors should interact with each other in a manner which encourages responsible, open, challenging and inspired discussion;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High Performance Standards: Directors should have a history of achievements that reflects high standards for themselves and others.</w:t>
      </w:r>
    </w:p>
    <w:p>
      <w:pPr>
        <w:spacing w:after="0" w:line="248" w:lineRule="exact"/>
        <w:rPr>
          <w:sz w:val="20"/>
          <w:szCs w:val="20"/>
          <w:color w:val="auto"/>
        </w:rPr>
      </w:pPr>
    </w:p>
    <w:p>
      <w:pPr>
        <w:ind w:left="120" w:right="280"/>
        <w:spacing w:after="0" w:line="319" w:lineRule="auto"/>
        <w:rPr>
          <w:sz w:val="20"/>
          <w:szCs w:val="20"/>
          <w:color w:val="auto"/>
        </w:rPr>
      </w:pPr>
      <w:r>
        <w:rPr>
          <w:rFonts w:ascii="Arial" w:cs="Arial" w:eastAsia="Arial" w:hAnsi="Arial"/>
          <w:sz w:val="16"/>
          <w:szCs w:val="16"/>
          <w:color w:val="auto"/>
        </w:rPr>
        <w:t>The Company believes that each of the directors nominated has a reputation for strong character and integrity and that our directors have worked cohesively and constructively with each other and with management of the Company. The directors further have each demonstrated business acumen and an ability to exercise sound judgment.</w:t>
      </w:r>
    </w:p>
    <w:p>
      <w:pPr>
        <w:spacing w:after="0" w:line="171" w:lineRule="exact"/>
        <w:rPr>
          <w:sz w:val="20"/>
          <w:szCs w:val="20"/>
          <w:color w:val="auto"/>
        </w:rPr>
      </w:pPr>
    </w:p>
    <w:p>
      <w:pPr>
        <w:ind w:left="120" w:right="240"/>
        <w:spacing w:after="0" w:line="339" w:lineRule="auto"/>
        <w:rPr>
          <w:sz w:val="20"/>
          <w:szCs w:val="20"/>
          <w:color w:val="auto"/>
        </w:rPr>
      </w:pPr>
      <w:r>
        <w:rPr>
          <w:rFonts w:ascii="Arial" w:cs="Arial" w:eastAsia="Arial" w:hAnsi="Arial"/>
          <w:sz w:val="16"/>
          <w:szCs w:val="16"/>
          <w:color w:val="auto"/>
        </w:rPr>
        <w:t>Our Board also reflects a broad array of knowledge, experience, skills, backgrounds and other attributes, including diversity, as described under “Proxy Summary—A Highly Diverse and Skilled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BOARD MATTERS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Independence and Impact of Controlled Company Status</w:t>
      </w:r>
    </w:p>
    <w:p>
      <w:pPr>
        <w:spacing w:after="0" w:line="225" w:lineRule="exact"/>
        <w:rPr>
          <w:sz w:val="20"/>
          <w:szCs w:val="20"/>
          <w:color w:val="auto"/>
        </w:rPr>
      </w:pPr>
    </w:p>
    <w:p>
      <w:pPr>
        <w:ind w:left="120" w:right="20"/>
        <w:spacing w:after="0" w:line="306" w:lineRule="auto"/>
        <w:rPr>
          <w:sz w:val="20"/>
          <w:szCs w:val="20"/>
          <w:color w:val="auto"/>
        </w:rPr>
      </w:pPr>
      <w:r>
        <w:rPr>
          <w:rFonts w:ascii="Arial" w:cs="Arial" w:eastAsia="Arial" w:hAnsi="Arial"/>
          <w:sz w:val="16"/>
          <w:szCs w:val="16"/>
          <w:color w:val="auto"/>
        </w:rPr>
        <w:t>Our shares of Class A common stock are listed on the Nasdaq Global Market. We are a “controlled company” under the Nasdaq Listing Rules because Tim Chen, our Chairman and Chief Executive Officer, and his affiliated trusts control a majority of the voting power of our outstanding capital stock. Given our Board’s size, nominating and governance matters are addressed by the full Board instead of by a select committee. However, we have an Audit Committee composed solely of independent directors as required by Nasdaq Listing Rules. Furthermore, our Board has also determined to have a Compensation Committee (although we are not required to have one) also composed of independent directors. If at any time we cease to be a “controlled company” under the Nasdaq Listing Rules, our Board will take all action necessary to comply with the applicable rules of the Nasdaq stock exchange, including establishing certain committees composed entirely of independent directors, subject to a permitted “phase-in” period.</w:t>
      </w:r>
    </w:p>
    <w:p>
      <w:pPr>
        <w:spacing w:after="0" w:line="180" w:lineRule="exact"/>
        <w:rPr>
          <w:sz w:val="20"/>
          <w:szCs w:val="20"/>
          <w:color w:val="auto"/>
        </w:rPr>
      </w:pPr>
    </w:p>
    <w:p>
      <w:pPr>
        <w:ind w:left="120" w:right="80"/>
        <w:spacing w:after="0" w:line="307" w:lineRule="auto"/>
        <w:rPr>
          <w:sz w:val="20"/>
          <w:szCs w:val="20"/>
          <w:color w:val="auto"/>
        </w:rPr>
      </w:pPr>
      <w:r>
        <w:rPr>
          <w:rFonts w:ascii="Arial" w:cs="Arial" w:eastAsia="Arial" w:hAnsi="Arial"/>
          <w:sz w:val="16"/>
          <w:szCs w:val="16"/>
          <w:color w:val="auto"/>
        </w:rPr>
        <w:t>Our Board recently undertook its annual review of director independence in accordance with the applicable Nasdaq listing rules. The independence rules include a series of objective tests, including that the director is not employed by us and has not engaged in various types of business dealings with us. In addition, our Board must make a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regarding each director’s business and personal activities as they may relate to us and our management.</w:t>
      </w:r>
    </w:p>
    <w:p>
      <w:pPr>
        <w:spacing w:after="0" w:line="181" w:lineRule="exact"/>
        <w:rPr>
          <w:sz w:val="20"/>
          <w:szCs w:val="20"/>
          <w:color w:val="auto"/>
        </w:rPr>
      </w:pPr>
    </w:p>
    <w:p>
      <w:pPr>
        <w:ind w:left="120" w:right="40"/>
        <w:spacing w:after="0" w:line="299" w:lineRule="auto"/>
        <w:rPr>
          <w:sz w:val="20"/>
          <w:szCs w:val="20"/>
          <w:color w:val="auto"/>
        </w:rPr>
      </w:pPr>
      <w:r>
        <w:rPr>
          <w:rFonts w:ascii="Arial" w:cs="Arial" w:eastAsia="Arial" w:hAnsi="Arial"/>
          <w:sz w:val="16"/>
          <w:szCs w:val="16"/>
          <w:color w:val="auto"/>
        </w:rPr>
        <w:t>Our Board has determined that each of Mses. Ceran and Laube and Messrs. Loverro and McBride are “independent directors” as such term is defined by the applicable Nasdaq Listing Rules. In addition, after considering all of the relevant facts and circumstances, our Board has determined that each of:</w:t>
      </w:r>
    </w:p>
    <w:p>
      <w:pPr>
        <w:spacing w:after="0" w:line="1" w:lineRule="exact"/>
        <w:rPr>
          <w:sz w:val="20"/>
          <w:szCs w:val="20"/>
          <w:color w:val="auto"/>
        </w:rPr>
      </w:pPr>
    </w:p>
    <w:p>
      <w:pPr>
        <w:ind w:left="120" w:right="60" w:hanging="4"/>
        <w:spacing w:after="0" w:line="319" w:lineRule="auto"/>
        <w:tabs>
          <w:tab w:leader="none" w:pos="363" w:val="left"/>
        </w:tabs>
        <w:numPr>
          <w:ilvl w:val="0"/>
          <w:numId w:val="25"/>
        </w:numPr>
        <w:rPr>
          <w:rFonts w:ascii="Arial" w:cs="Arial" w:eastAsia="Arial" w:hAnsi="Arial"/>
          <w:sz w:val="16"/>
          <w:szCs w:val="16"/>
          <w:color w:val="auto"/>
        </w:rPr>
      </w:pPr>
      <w:r>
        <w:rPr>
          <w:rFonts w:ascii="Arial" w:cs="Arial" w:eastAsia="Arial" w:hAnsi="Arial"/>
          <w:sz w:val="16"/>
          <w:szCs w:val="16"/>
          <w:color w:val="auto"/>
        </w:rPr>
        <w:t>Mses. Ceran and Laube and Mr. McBride for purposes of service on our Audit Committee, and (2) Ms. Laube and Mr. Loverro, for purposes of service on our Compensation Committee, qualifies as “independent” in accordance with the additional independence rules established by the SEC and the Nasdaq stock exchange for such committees.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Family Relationships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Oversight by Our Board of Directors</w:t>
      </w:r>
    </w:p>
    <w:p>
      <w:pPr>
        <w:spacing w:after="0" w:line="249" w:lineRule="exact"/>
        <w:rPr>
          <w:sz w:val="20"/>
          <w:szCs w:val="20"/>
          <w:color w:val="auto"/>
        </w:rPr>
      </w:pPr>
    </w:p>
    <w:p>
      <w:pPr>
        <w:ind w:left="120"/>
        <w:spacing w:after="0" w:line="304" w:lineRule="auto"/>
        <w:rPr>
          <w:sz w:val="20"/>
          <w:szCs w:val="20"/>
          <w:color w:val="auto"/>
        </w:rPr>
      </w:pPr>
      <w:r>
        <w:rPr>
          <w:rFonts w:ascii="Arial" w:cs="Arial" w:eastAsia="Arial" w:hAnsi="Arial"/>
          <w:sz w:val="16"/>
          <w:szCs w:val="16"/>
          <w:color w:val="auto"/>
        </w:rPr>
        <w:t>Our Board has general oversight responsibility for the business and affairs of the Company. The directors, in exercising their duties, represent and act on behalf of the stockholders. Our Board serves as the ultimate decision-making body of the Company, except for those matters reserved to (or shared with) our stockholders. Our Board is responsible for overseeing management, which is, in turn, responsible for the operations of the Company. Although our Board does not have responsibility for our day-to-day management, it stays regularly informed about our business and provides guidance to management through periodic meetings and other informal communications. Our Board’s primary areas of focus include strategy, finance, leadership development, risk management, along with ESG, as well as evaluating management and guiding changes as circumstances warrant. As described below, significant additional responsibilities are delegated to committees, which report to our Board on their activities and actions on a regular basis. The committees include our Audit Committee and Compensation Committee. Beginning in 2022, our Board will perform an annual performance review of our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7029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080" w:hanging="741"/>
        <w:spacing w:after="0"/>
        <w:tabs>
          <w:tab w:leader="none" w:pos="108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666666"/>
        </w:rPr>
        <w:t>BOARD MATTERS</w:t>
      </w:r>
    </w:p>
    <w:p>
      <w:pPr>
        <w:spacing w:after="0" w:line="143" w:lineRule="exact"/>
        <w:rPr>
          <w:sz w:val="20"/>
          <w:szCs w:val="20"/>
          <w:color w:val="auto"/>
        </w:rPr>
      </w:pPr>
    </w:p>
    <w:p>
      <w:pPr>
        <w:ind w:left="120" w:right="620"/>
        <w:spacing w:after="0" w:line="298" w:lineRule="auto"/>
        <w:rPr>
          <w:sz w:val="20"/>
          <w:szCs w:val="20"/>
          <w:color w:val="auto"/>
        </w:rPr>
      </w:pPr>
      <w:r>
        <w:rPr>
          <w:rFonts w:ascii="Arial" w:cs="Arial" w:eastAsia="Arial" w:hAnsi="Arial"/>
          <w:sz w:val="25"/>
          <w:szCs w:val="25"/>
          <w:b w:val="1"/>
          <w:bCs w:val="1"/>
          <w:color w:val="auto"/>
        </w:rPr>
        <w:t>Board Leadership Structure—Balanced Leadership Among Chief Executive Officer and Empowered Independent Directors</w:t>
      </w:r>
    </w:p>
    <w:p>
      <w:pPr>
        <w:spacing w:after="0" w:line="120" w:lineRule="exact"/>
        <w:rPr>
          <w:sz w:val="20"/>
          <w:szCs w:val="20"/>
          <w:color w:val="auto"/>
        </w:rPr>
      </w:pPr>
    </w:p>
    <w:p>
      <w:pPr>
        <w:ind w:left="120" w:right="120"/>
        <w:spacing w:after="0" w:line="307" w:lineRule="auto"/>
        <w:rPr>
          <w:sz w:val="20"/>
          <w:szCs w:val="20"/>
          <w:color w:val="auto"/>
        </w:rPr>
      </w:pPr>
      <w:r>
        <w:rPr>
          <w:rFonts w:ascii="Arial" w:cs="Arial" w:eastAsia="Arial" w:hAnsi="Arial"/>
          <w:sz w:val="16"/>
          <w:szCs w:val="16"/>
          <w:color w:val="auto"/>
        </w:rPr>
        <w:t>Our Board operates under the leadership of our Chairman and Chief Executive Officer, Tim Chen. Our Board believes that combining the roles of Chairman and Chief Executive Officer at this time fosters accountability, effective decision-making and alignment between the Board and our senior management. Our Board believes that Mr. Chen, as a Company executive, co-founder and our controlling stockholder, is best suited to serve as Chairman and guide the strategic priorities of the Company in light of his substantial experience, and his in-depth knowledge of our Company and industry. In addition, our Board believes Mr. Chen is uniquely well-positioned to leverage the in-depth knowledge and perspective gained in his executive capacity to lead the Board and to utilize these powers effectively to best serve the Company and our stockholders.</w:t>
      </w:r>
    </w:p>
    <w:p>
      <w:pPr>
        <w:spacing w:after="0" w:line="181" w:lineRule="exact"/>
        <w:rPr>
          <w:sz w:val="20"/>
          <w:szCs w:val="20"/>
          <w:color w:val="auto"/>
        </w:rPr>
      </w:pPr>
    </w:p>
    <w:p>
      <w:pPr>
        <w:ind w:left="120" w:right="480"/>
        <w:spacing w:after="0" w:line="312" w:lineRule="auto"/>
        <w:rPr>
          <w:sz w:val="20"/>
          <w:szCs w:val="20"/>
          <w:color w:val="auto"/>
        </w:rPr>
      </w:pPr>
      <w:r>
        <w:rPr>
          <w:rFonts w:ascii="Arial" w:cs="Arial" w:eastAsia="Arial" w:hAnsi="Arial"/>
          <w:sz w:val="16"/>
          <w:szCs w:val="16"/>
          <w:color w:val="auto"/>
        </w:rPr>
        <w:t>Our Board has carefully considered its leadership structure and believes that the Company and its stockholders are best served by maintaining the flexibility to have any director serve as Chairman and periodically evaluate whether to have an independent lead director. Our Board recognizes the increasing utilization of non-executive chairmen and lead directors in many public companies. However, our Board believes its current leadership structure is most appropriate for us as a controlled company and best serves the stockholders of the Company.</w:t>
      </w:r>
    </w:p>
    <w:p>
      <w:pPr>
        <w:spacing w:after="0" w:line="177" w:lineRule="exact"/>
        <w:rPr>
          <w:sz w:val="20"/>
          <w:szCs w:val="20"/>
          <w:color w:val="auto"/>
        </w:rPr>
      </w:pPr>
    </w:p>
    <w:p>
      <w:pPr>
        <w:ind w:left="120" w:right="40"/>
        <w:spacing w:after="0" w:line="310" w:lineRule="auto"/>
        <w:rPr>
          <w:sz w:val="20"/>
          <w:szCs w:val="20"/>
          <w:color w:val="auto"/>
        </w:rPr>
      </w:pPr>
      <w:r>
        <w:rPr>
          <w:rFonts w:ascii="Arial" w:cs="Arial" w:eastAsia="Arial" w:hAnsi="Arial"/>
          <w:sz w:val="16"/>
          <w:szCs w:val="16"/>
          <w:color w:val="auto"/>
        </w:rPr>
        <w:t>There is no “one size fits all” approach to ensuring independent leadership. Our Board believes that its four independent directors are empowered, deeply engaged and provide significant independent leadership and direction given their executive and Board experience. The independent directors are members of our Audit and Compensation Committees, which collectively oversee critical matters of the Company. When our non-management or independent directors meet in executive sessions, our Audit Committee chair generally presides over such sessions. The independent directors further have access to independent advisors as they deem appropriate. Management supports this oversight role through its tone-at-the-top and open communication.</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Meetings of our Board and Committees</w:t>
      </w:r>
    </w:p>
    <w:p>
      <w:pPr>
        <w:spacing w:after="0" w:line="249"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color w:val="auto"/>
        </w:rPr>
        <w:t>Our Board and committees meet throughout the year at regularly scheduled meetings and informational sessions, and also hold special meetings and act by written consent as appropriate. The non-management directors hold executive sessions to meet without management present, generally at regularly scheduled Board meetings as well as other times that such directors deem necessary or appropriate. The independent directors meet in executive session at least once per year.</w:t>
      </w:r>
    </w:p>
    <w:p>
      <w:pPr>
        <w:spacing w:after="0" w:line="177" w:lineRule="exact"/>
        <w:rPr>
          <w:sz w:val="20"/>
          <w:szCs w:val="20"/>
          <w:color w:val="auto"/>
        </w:rPr>
      </w:pPr>
    </w:p>
    <w:p>
      <w:pPr>
        <w:ind w:left="120" w:right="20"/>
        <w:spacing w:after="0" w:line="312" w:lineRule="auto"/>
        <w:rPr>
          <w:sz w:val="20"/>
          <w:szCs w:val="20"/>
          <w:color w:val="auto"/>
        </w:rPr>
      </w:pPr>
      <w:r>
        <w:rPr>
          <w:rFonts w:ascii="Arial" w:cs="Arial" w:eastAsia="Arial" w:hAnsi="Arial"/>
          <w:sz w:val="16"/>
          <w:szCs w:val="16"/>
          <w:color w:val="auto"/>
        </w:rPr>
        <w:t>Directors are expected to attend the annual meeting of stockholders, Board meetings and meetings of committees on which they serve. We permit participation by telephone or videoconference, which is deemed attendance for all meetings. The 2022 Annual Meeting will be our first annual meeting of our stockholders as a public company. Matters required to be approved by our stockholders in 2021 were completed prior to the consummation of our IPO in November 2021.</w:t>
      </w:r>
    </w:p>
    <w:p>
      <w:pPr>
        <w:spacing w:after="0" w:line="177" w:lineRule="exact"/>
        <w:rPr>
          <w:sz w:val="20"/>
          <w:szCs w:val="20"/>
          <w:color w:val="auto"/>
        </w:rPr>
      </w:pPr>
    </w:p>
    <w:p>
      <w:pPr>
        <w:ind w:left="120" w:right="20"/>
        <w:spacing w:after="0" w:line="319" w:lineRule="auto"/>
        <w:rPr>
          <w:sz w:val="20"/>
          <w:szCs w:val="20"/>
          <w:color w:val="auto"/>
        </w:rPr>
      </w:pPr>
      <w:r>
        <w:rPr>
          <w:rFonts w:ascii="Arial" w:cs="Arial" w:eastAsia="Arial" w:hAnsi="Arial"/>
          <w:sz w:val="16"/>
          <w:szCs w:val="16"/>
          <w:color w:val="auto"/>
        </w:rPr>
        <w:t>In 2021, our Board met 13 times and our committees met an aggregate of 11 times. All directors attended 75% or more of the Board’s meetings and the meetings of the committees on which they served held during the period which they served, with the exception of Mr. Simon Williams who recused himself from attending certain meetings due to the nature of the topics to be discussed. Mr. Williams resigned from the Board effective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BOARD MATTERS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Two Core Standing Committees of Our Board with Significant Responsibilities</w:t>
      </w:r>
    </w:p>
    <w:p>
      <w:pPr>
        <w:spacing w:after="0" w:line="225" w:lineRule="exact"/>
        <w:rPr>
          <w:sz w:val="20"/>
          <w:szCs w:val="20"/>
          <w:color w:val="auto"/>
        </w:rPr>
      </w:pPr>
    </w:p>
    <w:p>
      <w:pPr>
        <w:ind w:left="120" w:right="200"/>
        <w:spacing w:after="0" w:line="312" w:lineRule="auto"/>
        <w:rPr>
          <w:sz w:val="20"/>
          <w:szCs w:val="20"/>
          <w:color w:val="auto"/>
        </w:rPr>
      </w:pPr>
      <w:r>
        <w:rPr>
          <w:rFonts w:ascii="Arial" w:cs="Arial" w:eastAsia="Arial" w:hAnsi="Arial"/>
          <w:sz w:val="16"/>
          <w:szCs w:val="16"/>
          <w:color w:val="auto"/>
        </w:rPr>
        <w:t>Effective upon our IPO, our Board delegated various responsibilities and authority to two Board committees: our Audit Committee and Compensation Committee. Each committee operates under a written charter approved by our Board, which is reviewed periodically by the respective committee and is available on the Governance tab of our investor relations website located at https://investors.nerdwallet.com. The table below sets forth the current membership of our Board committees and the number of meetings held by each committee in 2021.</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3980" w:type="dxa"/>
            <w:vAlign w:val="bottom"/>
            <w:tcBorders>
              <w:top w:val="single" w:sz="8" w:color="60BAFF"/>
              <w:right w:val="single" w:sz="8" w:color="B2B2B2"/>
            </w:tcBorders>
          </w:tcPr>
          <w:p>
            <w:pPr>
              <w:ind w:left="1560"/>
              <w:spacing w:after="0"/>
              <w:rPr>
                <w:sz w:val="20"/>
                <w:szCs w:val="20"/>
                <w:color w:val="auto"/>
              </w:rPr>
            </w:pPr>
            <w:r>
              <w:rPr>
                <w:rFonts w:ascii="Arial" w:cs="Arial" w:eastAsia="Arial" w:hAnsi="Arial"/>
                <w:sz w:val="16"/>
                <w:szCs w:val="16"/>
                <w:b w:val="1"/>
                <w:bCs w:val="1"/>
                <w:color w:val="60BAFF"/>
              </w:rPr>
              <w:t>DIRECTOR</w:t>
            </w:r>
          </w:p>
        </w:tc>
        <w:tc>
          <w:tcPr>
            <w:tcW w:w="3520" w:type="dxa"/>
            <w:vAlign w:val="bottom"/>
            <w:tcBorders>
              <w:top w:val="single" w:sz="8" w:color="60BAFF"/>
              <w:right w:val="single" w:sz="8" w:color="B2B2B2"/>
            </w:tcBorders>
          </w:tcPr>
          <w:p>
            <w:pPr>
              <w:jc w:val="center"/>
              <w:ind w:left="19"/>
              <w:spacing w:after="0"/>
              <w:rPr>
                <w:sz w:val="20"/>
                <w:szCs w:val="20"/>
                <w:color w:val="auto"/>
              </w:rPr>
            </w:pPr>
            <w:r>
              <w:rPr>
                <w:rFonts w:ascii="Arial" w:cs="Arial" w:eastAsia="Arial" w:hAnsi="Arial"/>
                <w:sz w:val="16"/>
                <w:szCs w:val="16"/>
                <w:b w:val="1"/>
                <w:bCs w:val="1"/>
                <w:color w:val="60BAFF"/>
              </w:rPr>
              <w:t>AUDIT</w:t>
            </w:r>
          </w:p>
        </w:tc>
        <w:tc>
          <w:tcPr>
            <w:tcW w:w="3520" w:type="dxa"/>
            <w:vAlign w:val="bottom"/>
            <w:tcBorders>
              <w:top w:val="single" w:sz="8" w:color="60BAFF"/>
            </w:tcBorders>
          </w:tcPr>
          <w:p>
            <w:pPr>
              <w:ind w:left="1200"/>
              <w:spacing w:after="0"/>
              <w:rPr>
                <w:sz w:val="20"/>
                <w:szCs w:val="20"/>
                <w:color w:val="auto"/>
              </w:rPr>
            </w:pPr>
            <w:r>
              <w:rPr>
                <w:rFonts w:ascii="Arial" w:cs="Arial" w:eastAsia="Arial" w:hAnsi="Arial"/>
                <w:sz w:val="16"/>
                <w:szCs w:val="16"/>
                <w:b w:val="1"/>
                <w:bCs w:val="1"/>
                <w:color w:val="60BAFF"/>
              </w:rPr>
              <w:t>COMPENSATION</w:t>
            </w:r>
          </w:p>
        </w:tc>
      </w:tr>
      <w:tr>
        <w:trPr>
          <w:trHeight w:val="48"/>
        </w:trPr>
        <w:tc>
          <w:tcPr>
            <w:tcW w:w="3980" w:type="dxa"/>
            <w:vAlign w:val="bottom"/>
            <w:tcBorders>
              <w:bottom w:val="single" w:sz="8" w:color="60BAFF"/>
              <w:right w:val="single" w:sz="8" w:color="B2B2B2"/>
            </w:tcBorders>
          </w:tcPr>
          <w:p>
            <w:pPr>
              <w:spacing w:after="0"/>
              <w:rPr>
                <w:sz w:val="4"/>
                <w:szCs w:val="4"/>
                <w:color w:val="auto"/>
              </w:rPr>
            </w:pPr>
          </w:p>
        </w:tc>
        <w:tc>
          <w:tcPr>
            <w:tcW w:w="3520" w:type="dxa"/>
            <w:vAlign w:val="bottom"/>
            <w:tcBorders>
              <w:bottom w:val="single" w:sz="8" w:color="60BAFF"/>
              <w:right w:val="single" w:sz="8" w:color="B2B2B2"/>
            </w:tcBorders>
          </w:tcPr>
          <w:p>
            <w:pPr>
              <w:spacing w:after="0"/>
              <w:rPr>
                <w:sz w:val="4"/>
                <w:szCs w:val="4"/>
                <w:color w:val="auto"/>
              </w:rPr>
            </w:pPr>
          </w:p>
        </w:tc>
        <w:tc>
          <w:tcPr>
            <w:tcW w:w="3520" w:type="dxa"/>
            <w:vAlign w:val="bottom"/>
            <w:tcBorders>
              <w:bottom w:val="single" w:sz="8" w:color="60BAFF"/>
            </w:tcBorders>
          </w:tcPr>
          <w:p>
            <w:pPr>
              <w:spacing w:after="0"/>
              <w:rPr>
                <w:sz w:val="4"/>
                <w:szCs w:val="4"/>
                <w:color w:val="auto"/>
              </w:rPr>
            </w:pPr>
          </w:p>
        </w:tc>
      </w:tr>
      <w:tr>
        <w:trPr>
          <w:trHeight w:val="276"/>
        </w:trPr>
        <w:tc>
          <w:tcPr>
            <w:tcW w:w="3980" w:type="dxa"/>
            <w:vAlign w:val="bottom"/>
            <w:tcBorders>
              <w:right w:val="single" w:sz="8" w:color="B2B2B2"/>
            </w:tcBorders>
          </w:tcPr>
          <w:p>
            <w:pPr>
              <w:ind w:left="60"/>
              <w:spacing w:after="0"/>
              <w:rPr>
                <w:sz w:val="20"/>
                <w:szCs w:val="20"/>
                <w:color w:val="auto"/>
              </w:rPr>
            </w:pPr>
            <w:r>
              <w:rPr>
                <w:rFonts w:ascii="Arial" w:cs="Arial" w:eastAsia="Arial" w:hAnsi="Arial"/>
                <w:sz w:val="18"/>
                <w:szCs w:val="18"/>
                <w:b w:val="1"/>
                <w:bCs w:val="1"/>
                <w:color w:val="auto"/>
              </w:rPr>
              <w:t>Tim Chen</w:t>
            </w:r>
          </w:p>
        </w:tc>
        <w:tc>
          <w:tcPr>
            <w:tcW w:w="3520" w:type="dxa"/>
            <w:vAlign w:val="bottom"/>
            <w:tcBorders>
              <w:right w:val="single" w:sz="8" w:color="B2B2B2"/>
            </w:tcBorders>
          </w:tcPr>
          <w:p>
            <w:pPr>
              <w:spacing w:after="0"/>
              <w:rPr>
                <w:sz w:val="23"/>
                <w:szCs w:val="23"/>
                <w:color w:val="auto"/>
              </w:rPr>
            </w:pPr>
          </w:p>
        </w:tc>
        <w:tc>
          <w:tcPr>
            <w:tcW w:w="3520" w:type="dxa"/>
            <w:vAlign w:val="bottom"/>
          </w:tcPr>
          <w:p>
            <w:pPr>
              <w:spacing w:after="0"/>
              <w:rPr>
                <w:sz w:val="23"/>
                <w:szCs w:val="23"/>
                <w:color w:val="auto"/>
              </w:rPr>
            </w:pPr>
          </w:p>
        </w:tc>
      </w:tr>
      <w:tr>
        <w:trPr>
          <w:trHeight w:val="42"/>
        </w:trPr>
        <w:tc>
          <w:tcPr>
            <w:tcW w:w="3980" w:type="dxa"/>
            <w:vAlign w:val="bottom"/>
            <w:tcBorders>
              <w:right w:val="single" w:sz="8" w:color="B2B2B2"/>
            </w:tcBorders>
          </w:tcPr>
          <w:p>
            <w:pPr>
              <w:spacing w:after="0"/>
              <w:rPr>
                <w:sz w:val="3"/>
                <w:szCs w:val="3"/>
                <w:color w:val="auto"/>
              </w:rPr>
            </w:pPr>
          </w:p>
        </w:tc>
        <w:tc>
          <w:tcPr>
            <w:tcW w:w="3520" w:type="dxa"/>
            <w:vAlign w:val="bottom"/>
            <w:tcBorders>
              <w:right w:val="single" w:sz="8" w:color="B2B2B2"/>
            </w:tcBorders>
          </w:tcPr>
          <w:p>
            <w:pPr>
              <w:spacing w:after="0"/>
              <w:rPr>
                <w:sz w:val="3"/>
                <w:szCs w:val="3"/>
                <w:color w:val="auto"/>
              </w:rPr>
            </w:pPr>
          </w:p>
        </w:tc>
        <w:tc>
          <w:tcPr>
            <w:tcW w:w="3520" w:type="dxa"/>
            <w:vAlign w:val="bottom"/>
          </w:tcPr>
          <w:p>
            <w:pPr>
              <w:spacing w:after="0"/>
              <w:rPr>
                <w:sz w:val="3"/>
                <w:szCs w:val="3"/>
                <w:color w:val="auto"/>
              </w:rPr>
            </w:pPr>
          </w:p>
        </w:tc>
      </w:tr>
      <w:tr>
        <w:trPr>
          <w:trHeight w:val="318"/>
        </w:trPr>
        <w:tc>
          <w:tcPr>
            <w:tcW w:w="398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8"/>
                <w:szCs w:val="18"/>
                <w:b w:val="1"/>
                <w:bCs w:val="1"/>
                <w:color w:val="auto"/>
              </w:rPr>
              <w:t>Jennifer E. Ceran</w:t>
            </w:r>
          </w:p>
        </w:tc>
        <w:tc>
          <w:tcPr>
            <w:tcW w:w="3520" w:type="dxa"/>
            <w:vAlign w:val="bottom"/>
            <w:tcBorders>
              <w:bottom w:val="single" w:sz="8" w:color="F2FFFF"/>
              <w:right w:val="single" w:sz="8" w:color="B2B2B2"/>
            </w:tcBorders>
            <w:shd w:val="clear" w:color="auto" w:fill="F2FFFF"/>
          </w:tcPr>
          <w:p>
            <w:pPr>
              <w:spacing w:after="0"/>
              <w:rPr>
                <w:sz w:val="24"/>
                <w:szCs w:val="24"/>
                <w:color w:val="auto"/>
              </w:rPr>
            </w:pPr>
          </w:p>
        </w:tc>
        <w:tc>
          <w:tcPr>
            <w:tcW w:w="3520" w:type="dxa"/>
            <w:vAlign w:val="bottom"/>
            <w:tcBorders>
              <w:bottom w:val="single" w:sz="8" w:color="F2FFFF"/>
            </w:tcBorders>
            <w:shd w:val="clear" w:color="auto" w:fill="F2FFFF"/>
          </w:tcPr>
          <w:p>
            <w:pPr>
              <w:spacing w:after="0"/>
              <w:rPr>
                <w:sz w:val="24"/>
                <w:szCs w:val="24"/>
                <w:color w:val="auto"/>
              </w:rPr>
            </w:pPr>
          </w:p>
        </w:tc>
      </w:tr>
      <w:tr>
        <w:trPr>
          <w:trHeight w:val="295"/>
        </w:trPr>
        <w:tc>
          <w:tcPr>
            <w:tcW w:w="3980" w:type="dxa"/>
            <w:vAlign w:val="bottom"/>
            <w:tcBorders>
              <w:right w:val="single" w:sz="8" w:color="B2B2B2"/>
            </w:tcBorders>
          </w:tcPr>
          <w:p>
            <w:pPr>
              <w:ind w:left="60"/>
              <w:spacing w:after="0"/>
              <w:rPr>
                <w:sz w:val="20"/>
                <w:szCs w:val="20"/>
                <w:color w:val="auto"/>
              </w:rPr>
            </w:pPr>
            <w:r>
              <w:rPr>
                <w:rFonts w:ascii="Arial" w:cs="Arial" w:eastAsia="Arial" w:hAnsi="Arial"/>
                <w:sz w:val="18"/>
                <w:szCs w:val="18"/>
                <w:b w:val="1"/>
                <w:bCs w:val="1"/>
                <w:color w:val="auto"/>
              </w:rPr>
              <w:t>Lynne M. Laube</w:t>
            </w:r>
          </w:p>
        </w:tc>
        <w:tc>
          <w:tcPr>
            <w:tcW w:w="3520" w:type="dxa"/>
            <w:vAlign w:val="bottom"/>
            <w:tcBorders>
              <w:right w:val="single" w:sz="8" w:color="B2B2B2"/>
            </w:tcBorders>
          </w:tcPr>
          <w:p>
            <w:pPr>
              <w:spacing w:after="0"/>
              <w:rPr>
                <w:sz w:val="24"/>
                <w:szCs w:val="24"/>
                <w:color w:val="auto"/>
              </w:rPr>
            </w:pPr>
          </w:p>
        </w:tc>
        <w:tc>
          <w:tcPr>
            <w:tcW w:w="3520" w:type="dxa"/>
            <w:vAlign w:val="bottom"/>
          </w:tcPr>
          <w:p>
            <w:pPr>
              <w:spacing w:after="0"/>
              <w:rPr>
                <w:sz w:val="24"/>
                <w:szCs w:val="24"/>
                <w:color w:val="auto"/>
              </w:rPr>
            </w:pPr>
          </w:p>
        </w:tc>
      </w:tr>
      <w:tr>
        <w:trPr>
          <w:trHeight w:val="42"/>
        </w:trPr>
        <w:tc>
          <w:tcPr>
            <w:tcW w:w="3980" w:type="dxa"/>
            <w:vAlign w:val="bottom"/>
            <w:tcBorders>
              <w:right w:val="single" w:sz="8" w:color="B2B2B2"/>
            </w:tcBorders>
          </w:tcPr>
          <w:p>
            <w:pPr>
              <w:spacing w:after="0"/>
              <w:rPr>
                <w:sz w:val="3"/>
                <w:szCs w:val="3"/>
                <w:color w:val="auto"/>
              </w:rPr>
            </w:pPr>
          </w:p>
        </w:tc>
        <w:tc>
          <w:tcPr>
            <w:tcW w:w="3520" w:type="dxa"/>
            <w:vAlign w:val="bottom"/>
            <w:tcBorders>
              <w:right w:val="single" w:sz="8" w:color="B2B2B2"/>
            </w:tcBorders>
          </w:tcPr>
          <w:p>
            <w:pPr>
              <w:spacing w:after="0"/>
              <w:rPr>
                <w:sz w:val="3"/>
                <w:szCs w:val="3"/>
                <w:color w:val="auto"/>
              </w:rPr>
            </w:pPr>
          </w:p>
        </w:tc>
        <w:tc>
          <w:tcPr>
            <w:tcW w:w="3520" w:type="dxa"/>
            <w:vAlign w:val="bottom"/>
          </w:tcPr>
          <w:p>
            <w:pPr>
              <w:spacing w:after="0"/>
              <w:rPr>
                <w:sz w:val="3"/>
                <w:szCs w:val="3"/>
                <w:color w:val="auto"/>
              </w:rPr>
            </w:pPr>
          </w:p>
        </w:tc>
      </w:tr>
      <w:tr>
        <w:trPr>
          <w:trHeight w:val="317"/>
        </w:trPr>
        <w:tc>
          <w:tcPr>
            <w:tcW w:w="398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8"/>
                <w:szCs w:val="18"/>
                <w:b w:val="1"/>
                <w:bCs w:val="1"/>
                <w:color w:val="auto"/>
              </w:rPr>
              <w:t>Thomas Loverro</w:t>
            </w:r>
          </w:p>
        </w:tc>
        <w:tc>
          <w:tcPr>
            <w:tcW w:w="3520" w:type="dxa"/>
            <w:vAlign w:val="bottom"/>
            <w:tcBorders>
              <w:bottom w:val="single" w:sz="8" w:color="F2FFFF"/>
              <w:right w:val="single" w:sz="8" w:color="B2B2B2"/>
            </w:tcBorders>
            <w:shd w:val="clear" w:color="auto" w:fill="F2FFFF"/>
          </w:tcPr>
          <w:p>
            <w:pPr>
              <w:spacing w:after="0"/>
              <w:rPr>
                <w:sz w:val="24"/>
                <w:szCs w:val="24"/>
                <w:color w:val="auto"/>
              </w:rPr>
            </w:pPr>
          </w:p>
        </w:tc>
        <w:tc>
          <w:tcPr>
            <w:tcW w:w="3520" w:type="dxa"/>
            <w:vAlign w:val="bottom"/>
            <w:tcBorders>
              <w:bottom w:val="single" w:sz="8" w:color="F2FFFF"/>
            </w:tcBorders>
            <w:shd w:val="clear" w:color="auto" w:fill="F2FFFF"/>
          </w:tcPr>
          <w:p>
            <w:pPr>
              <w:spacing w:after="0"/>
              <w:rPr>
                <w:sz w:val="24"/>
                <w:szCs w:val="24"/>
                <w:color w:val="auto"/>
              </w:rPr>
            </w:pPr>
          </w:p>
        </w:tc>
      </w:tr>
      <w:tr>
        <w:trPr>
          <w:trHeight w:val="296"/>
        </w:trPr>
        <w:tc>
          <w:tcPr>
            <w:tcW w:w="3980" w:type="dxa"/>
            <w:vAlign w:val="bottom"/>
            <w:tcBorders>
              <w:right w:val="single" w:sz="8" w:color="B2B2B2"/>
            </w:tcBorders>
          </w:tcPr>
          <w:p>
            <w:pPr>
              <w:ind w:left="60"/>
              <w:spacing w:after="0"/>
              <w:rPr>
                <w:sz w:val="20"/>
                <w:szCs w:val="20"/>
                <w:color w:val="auto"/>
              </w:rPr>
            </w:pPr>
            <w:r>
              <w:rPr>
                <w:rFonts w:ascii="Arial" w:cs="Arial" w:eastAsia="Arial" w:hAnsi="Arial"/>
                <w:sz w:val="18"/>
                <w:szCs w:val="18"/>
                <w:b w:val="1"/>
                <w:bCs w:val="1"/>
                <w:color w:val="auto"/>
              </w:rPr>
              <w:t>Kenneth T. McBride</w:t>
            </w:r>
          </w:p>
        </w:tc>
        <w:tc>
          <w:tcPr>
            <w:tcW w:w="3520" w:type="dxa"/>
            <w:vAlign w:val="bottom"/>
            <w:tcBorders>
              <w:right w:val="single" w:sz="8" w:color="B2B2B2"/>
            </w:tcBorders>
          </w:tcPr>
          <w:p>
            <w:pPr>
              <w:spacing w:after="0"/>
              <w:rPr>
                <w:sz w:val="24"/>
                <w:szCs w:val="24"/>
                <w:color w:val="auto"/>
              </w:rPr>
            </w:pPr>
          </w:p>
        </w:tc>
        <w:tc>
          <w:tcPr>
            <w:tcW w:w="3520" w:type="dxa"/>
            <w:vAlign w:val="bottom"/>
          </w:tcPr>
          <w:p>
            <w:pPr>
              <w:spacing w:after="0"/>
              <w:rPr>
                <w:sz w:val="24"/>
                <w:szCs w:val="24"/>
                <w:color w:val="auto"/>
              </w:rPr>
            </w:pPr>
          </w:p>
        </w:tc>
      </w:tr>
      <w:tr>
        <w:trPr>
          <w:trHeight w:val="42"/>
        </w:trPr>
        <w:tc>
          <w:tcPr>
            <w:tcW w:w="3980" w:type="dxa"/>
            <w:vAlign w:val="bottom"/>
            <w:tcBorders>
              <w:bottom w:val="single" w:sz="8" w:color="60BAFF"/>
              <w:right w:val="single" w:sz="8" w:color="B2B2B2"/>
            </w:tcBorders>
          </w:tcPr>
          <w:p>
            <w:pPr>
              <w:spacing w:after="0"/>
              <w:rPr>
                <w:sz w:val="3"/>
                <w:szCs w:val="3"/>
                <w:color w:val="auto"/>
              </w:rPr>
            </w:pPr>
          </w:p>
        </w:tc>
        <w:tc>
          <w:tcPr>
            <w:tcW w:w="3520" w:type="dxa"/>
            <w:vAlign w:val="bottom"/>
            <w:tcBorders>
              <w:bottom w:val="single" w:sz="8" w:color="60BAFF"/>
              <w:right w:val="single" w:sz="8" w:color="B2B2B2"/>
            </w:tcBorders>
          </w:tcPr>
          <w:p>
            <w:pPr>
              <w:spacing w:after="0"/>
              <w:rPr>
                <w:sz w:val="3"/>
                <w:szCs w:val="3"/>
                <w:color w:val="auto"/>
              </w:rPr>
            </w:pPr>
          </w:p>
        </w:tc>
        <w:tc>
          <w:tcPr>
            <w:tcW w:w="3520" w:type="dxa"/>
            <w:vAlign w:val="bottom"/>
            <w:tcBorders>
              <w:bottom w:val="single" w:sz="8" w:color="60BAFF"/>
            </w:tcBorders>
          </w:tcPr>
          <w:p>
            <w:pPr>
              <w:spacing w:after="0"/>
              <w:rPr>
                <w:sz w:val="3"/>
                <w:szCs w:val="3"/>
                <w:color w:val="auto"/>
              </w:rPr>
            </w:pPr>
          </w:p>
        </w:tc>
      </w:tr>
      <w:tr>
        <w:trPr>
          <w:trHeight w:val="256"/>
        </w:trPr>
        <w:tc>
          <w:tcPr>
            <w:tcW w:w="3980" w:type="dxa"/>
            <w:vAlign w:val="bottom"/>
            <w:tcBorders>
              <w:right w:val="single" w:sz="8" w:color="B2B2B2"/>
            </w:tcBorders>
          </w:tcPr>
          <w:p>
            <w:pPr>
              <w:ind w:left="1360"/>
              <w:spacing w:after="0"/>
              <w:rPr>
                <w:sz w:val="20"/>
                <w:szCs w:val="20"/>
                <w:color w:val="auto"/>
              </w:rPr>
            </w:pPr>
            <w:r>
              <w:rPr>
                <w:rFonts w:ascii="Arial" w:cs="Arial" w:eastAsia="Arial" w:hAnsi="Arial"/>
                <w:sz w:val="16"/>
                <w:szCs w:val="16"/>
                <w:b w:val="1"/>
                <w:bCs w:val="1"/>
                <w:color w:val="60BAFF"/>
              </w:rPr>
              <w:t>2021 MEETINGS</w:t>
            </w:r>
          </w:p>
        </w:tc>
        <w:tc>
          <w:tcPr>
            <w:tcW w:w="3520" w:type="dxa"/>
            <w:vAlign w:val="bottom"/>
            <w:tcBorders>
              <w:right w:val="single" w:sz="8" w:color="B2B2B2"/>
            </w:tcBorders>
          </w:tcPr>
          <w:p>
            <w:pPr>
              <w:jc w:val="center"/>
              <w:spacing w:after="0"/>
              <w:rPr>
                <w:sz w:val="20"/>
                <w:szCs w:val="20"/>
                <w:color w:val="auto"/>
              </w:rPr>
            </w:pPr>
            <w:r>
              <w:rPr>
                <w:rFonts w:ascii="Arial" w:cs="Arial" w:eastAsia="Arial" w:hAnsi="Arial"/>
                <w:sz w:val="16"/>
                <w:szCs w:val="16"/>
                <w:b w:val="1"/>
                <w:bCs w:val="1"/>
                <w:color w:val="60BAFF"/>
              </w:rPr>
              <w:t>Audit: 7</w:t>
            </w:r>
          </w:p>
        </w:tc>
        <w:tc>
          <w:tcPr>
            <w:tcW w:w="3520" w:type="dxa"/>
            <w:vAlign w:val="bottom"/>
          </w:tcPr>
          <w:p>
            <w:pPr>
              <w:ind w:left="1200"/>
              <w:spacing w:after="0"/>
              <w:rPr>
                <w:sz w:val="20"/>
                <w:szCs w:val="20"/>
                <w:color w:val="auto"/>
              </w:rPr>
            </w:pPr>
            <w:r>
              <w:rPr>
                <w:rFonts w:ascii="Arial" w:cs="Arial" w:eastAsia="Arial" w:hAnsi="Arial"/>
                <w:sz w:val="16"/>
                <w:szCs w:val="16"/>
                <w:b w:val="1"/>
                <w:bCs w:val="1"/>
                <w:color w:val="60BAFF"/>
              </w:rPr>
              <w:t>Compensation: 4</w:t>
            </w:r>
          </w:p>
        </w:tc>
      </w:tr>
      <w:tr>
        <w:trPr>
          <w:trHeight w:val="48"/>
        </w:trPr>
        <w:tc>
          <w:tcPr>
            <w:tcW w:w="3980" w:type="dxa"/>
            <w:vAlign w:val="bottom"/>
            <w:tcBorders>
              <w:bottom w:val="single" w:sz="8" w:color="60BAFF"/>
              <w:right w:val="single" w:sz="8" w:color="B2B2B2"/>
            </w:tcBorders>
          </w:tcPr>
          <w:p>
            <w:pPr>
              <w:spacing w:after="0"/>
              <w:rPr>
                <w:sz w:val="4"/>
                <w:szCs w:val="4"/>
                <w:color w:val="auto"/>
              </w:rPr>
            </w:pPr>
          </w:p>
        </w:tc>
        <w:tc>
          <w:tcPr>
            <w:tcW w:w="3520" w:type="dxa"/>
            <w:vAlign w:val="bottom"/>
            <w:tcBorders>
              <w:bottom w:val="single" w:sz="8" w:color="60BAFF"/>
              <w:right w:val="single" w:sz="8" w:color="B2B2B2"/>
            </w:tcBorders>
          </w:tcPr>
          <w:p>
            <w:pPr>
              <w:spacing w:after="0"/>
              <w:rPr>
                <w:sz w:val="4"/>
                <w:szCs w:val="4"/>
                <w:color w:val="auto"/>
              </w:rPr>
            </w:pPr>
          </w:p>
        </w:tc>
        <w:tc>
          <w:tcPr>
            <w:tcW w:w="3520" w:type="dxa"/>
            <w:vAlign w:val="bottom"/>
            <w:tcBorders>
              <w:bottom w:val="single" w:sz="8" w:color="60BAFF"/>
            </w:tcBorders>
          </w:tcPr>
          <w:p>
            <w:pPr>
              <w:spacing w:after="0"/>
              <w:rPr>
                <w:sz w:val="4"/>
                <w:szCs w:val="4"/>
                <w:color w:val="auto"/>
              </w:rPr>
            </w:pPr>
          </w:p>
        </w:tc>
      </w:tr>
      <w:tr>
        <w:trPr>
          <w:trHeight w:val="208"/>
        </w:trPr>
        <w:tc>
          <w:tcPr>
            <w:tcW w:w="3980" w:type="dxa"/>
            <w:vAlign w:val="bottom"/>
          </w:tcPr>
          <w:p>
            <w:pPr>
              <w:ind w:left="420"/>
              <w:spacing w:after="0"/>
              <w:rPr>
                <w:sz w:val="20"/>
                <w:szCs w:val="20"/>
                <w:color w:val="auto"/>
              </w:rPr>
            </w:pPr>
            <w:r>
              <w:rPr>
                <w:rFonts w:ascii="Arial" w:cs="Arial" w:eastAsia="Arial" w:hAnsi="Arial"/>
                <w:sz w:val="16"/>
                <w:szCs w:val="16"/>
                <w:color w:val="auto"/>
              </w:rPr>
              <w:t>= Chair</w:t>
            </w:r>
          </w:p>
        </w:tc>
        <w:tc>
          <w:tcPr>
            <w:tcW w:w="35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50"/>
        </w:trPr>
        <w:tc>
          <w:tcPr>
            <w:tcW w:w="3980" w:type="dxa"/>
            <w:vAlign w:val="bottom"/>
          </w:tcPr>
          <w:p>
            <w:pPr>
              <w:ind w:left="420"/>
              <w:spacing w:after="0"/>
              <w:rPr>
                <w:sz w:val="20"/>
                <w:szCs w:val="20"/>
                <w:color w:val="auto"/>
              </w:rPr>
            </w:pPr>
            <w:r>
              <w:rPr>
                <w:rFonts w:ascii="Arial" w:cs="Arial" w:eastAsia="Arial" w:hAnsi="Arial"/>
                <w:sz w:val="16"/>
                <w:szCs w:val="16"/>
                <w:color w:val="auto"/>
              </w:rPr>
              <w:t>= Member</w:t>
            </w:r>
          </w:p>
        </w:tc>
        <w:tc>
          <w:tcPr>
            <w:tcW w:w="35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-1352550</wp:posOffset>
            </wp:positionV>
            <wp:extent cx="93980" cy="94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-1155700</wp:posOffset>
            </wp:positionV>
            <wp:extent cx="128905" cy="111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-1138555</wp:posOffset>
            </wp:positionV>
            <wp:extent cx="93980" cy="94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-941070</wp:posOffset>
            </wp:positionV>
            <wp:extent cx="128905" cy="111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-727075</wp:posOffset>
            </wp:positionV>
            <wp:extent cx="128905" cy="1117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-358140</wp:posOffset>
            </wp:positionV>
            <wp:extent cx="93980"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-135255</wp:posOffset>
            </wp:positionV>
            <wp:extent cx="128905"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11125"/>
                    </a:xfrm>
                    <a:prstGeom prst="rect">
                      <a:avLst/>
                    </a:prstGeom>
                    <a:noFill/>
                  </pic:spPr>
                </pic:pic>
              </a:graphicData>
            </a:graphic>
          </wp:anchor>
        </w:drawing>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Audit Committee</w:t>
      </w:r>
    </w:p>
    <w:p>
      <w:pPr>
        <w:spacing w:after="0" w:line="225" w:lineRule="exact"/>
        <w:rPr>
          <w:sz w:val="20"/>
          <w:szCs w:val="20"/>
          <w:color w:val="auto"/>
        </w:rPr>
      </w:pPr>
    </w:p>
    <w:p>
      <w:pPr>
        <w:ind w:left="120" w:right="60"/>
        <w:spacing w:after="0" w:line="307" w:lineRule="auto"/>
        <w:rPr>
          <w:sz w:val="20"/>
          <w:szCs w:val="20"/>
          <w:color w:val="auto"/>
        </w:rPr>
      </w:pPr>
      <w:r>
        <w:rPr>
          <w:rFonts w:ascii="Arial" w:cs="Arial" w:eastAsia="Arial" w:hAnsi="Arial"/>
          <w:sz w:val="16"/>
          <w:szCs w:val="16"/>
          <w:color w:val="auto"/>
        </w:rPr>
        <w:t>Our Audit Committee consists of Mses. Ceran and Laube and Mr. McBride. Our Board has determined that Mses. Ceran and Laube and Mr. McBride satisfy the independence requirements under the Nasdaq Listing Rules and Rule 10A-3(b)(1) under the Securities Exchange Act of 1934 (the “Exchange Act”). The chair of our Audit Committee is Ms. Ceran. Our Board has determined that each of Ms. Ceran and Mr. McBride is an “audit committee financial expert” within the meaning of SEC rules. Each member of our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81" w:lineRule="exact"/>
        <w:rPr>
          <w:sz w:val="20"/>
          <w:szCs w:val="20"/>
          <w:color w:val="auto"/>
        </w:rPr>
      </w:pPr>
    </w:p>
    <w:p>
      <w:pPr>
        <w:ind w:left="120" w:right="20"/>
        <w:spacing w:after="0" w:line="319" w:lineRule="auto"/>
        <w:rPr>
          <w:sz w:val="20"/>
          <w:szCs w:val="20"/>
          <w:color w:val="auto"/>
        </w:rPr>
      </w:pPr>
      <w:r>
        <w:rPr>
          <w:rFonts w:ascii="Arial" w:cs="Arial" w:eastAsia="Arial" w:hAnsi="Arial"/>
          <w:sz w:val="16"/>
          <w:szCs w:val="16"/>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76"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helping our Board oversee our corporate accounting and financial reporting processes;</w:t>
      </w:r>
    </w:p>
    <w:p>
      <w:pPr>
        <w:spacing w:after="0" w:line="153" w:lineRule="exact"/>
        <w:rPr>
          <w:rFonts w:ascii="Arial" w:cs="Arial" w:eastAsia="Arial" w:hAnsi="Arial"/>
          <w:sz w:val="16"/>
          <w:szCs w:val="16"/>
          <w:color w:val="auto"/>
        </w:rPr>
      </w:pPr>
    </w:p>
    <w:p>
      <w:pPr>
        <w:ind w:left="540" w:right="440" w:hanging="316"/>
        <w:spacing w:after="0" w:line="32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managing the selection, engagement, qualifications, independence and performance of a qualified firm to serve as the independent registered public accounting firm to audit our financial statements;</w:t>
      </w:r>
    </w:p>
    <w:p>
      <w:pPr>
        <w:spacing w:after="0" w:line="61" w:lineRule="exact"/>
        <w:rPr>
          <w:rFonts w:ascii="Arial" w:cs="Arial" w:eastAsia="Arial" w:hAnsi="Arial"/>
          <w:sz w:val="16"/>
          <w:szCs w:val="16"/>
          <w:color w:val="auto"/>
        </w:rPr>
      </w:pPr>
    </w:p>
    <w:p>
      <w:pPr>
        <w:ind w:left="540" w:right="440" w:hanging="316"/>
        <w:spacing w:after="0" w:line="32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accountants, our quarterly and year-end operating results;</w:t>
      </w:r>
    </w:p>
    <w:p>
      <w:pPr>
        <w:spacing w:after="0" w:line="61" w:lineRule="exact"/>
        <w:rPr>
          <w:rFonts w:ascii="Arial" w:cs="Arial" w:eastAsia="Arial" w:hAnsi="Arial"/>
          <w:sz w:val="16"/>
          <w:szCs w:val="16"/>
          <w:color w:val="auto"/>
        </w:rPr>
      </w:pPr>
    </w:p>
    <w:p>
      <w:pPr>
        <w:ind w:left="540" w:right="660" w:hanging="316"/>
        <w:spacing w:after="0" w:line="32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overseeing procedures for receiving and investigating submissions by employees concerning questionable accounting or audit matters and complaints received regarding accounting, internal accounting controls or auditing matters;</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reviewing related person transactions;</w:t>
      </w:r>
    </w:p>
    <w:p>
      <w:pPr>
        <w:spacing w:after="0" w:line="153" w:lineRule="exact"/>
        <w:rPr>
          <w:rFonts w:ascii="Arial" w:cs="Arial" w:eastAsia="Arial" w:hAnsi="Arial"/>
          <w:sz w:val="16"/>
          <w:szCs w:val="16"/>
          <w:color w:val="auto"/>
        </w:rPr>
      </w:pPr>
    </w:p>
    <w:p>
      <w:pPr>
        <w:ind w:left="540" w:right="320" w:hanging="316"/>
        <w:spacing w:after="0" w:line="321"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702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080" w:hanging="741"/>
        <w:spacing w:after="0"/>
        <w:tabs>
          <w:tab w:leader="none" w:pos="108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BOARD MATTERS</w:t>
      </w:r>
    </w:p>
    <w:p>
      <w:pPr>
        <w:spacing w:after="0" w:line="167" w:lineRule="exact"/>
        <w:rPr>
          <w:sz w:val="20"/>
          <w:szCs w:val="20"/>
          <w:color w:val="auto"/>
        </w:rPr>
      </w:pPr>
    </w:p>
    <w:p>
      <w:pPr>
        <w:ind w:left="540" w:right="800" w:hanging="316"/>
        <w:spacing w:after="0" w:line="32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approving or, as permitted, pre-approving, audit and permissible non-audit services to be performed by the independent registered public accounting firm.</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w:t>
      </w:r>
    </w:p>
    <w:p>
      <w:pPr>
        <w:spacing w:after="0" w:line="225" w:lineRule="exact"/>
        <w:rPr>
          <w:sz w:val="20"/>
          <w:szCs w:val="20"/>
          <w:color w:val="auto"/>
        </w:rPr>
      </w:pPr>
    </w:p>
    <w:p>
      <w:pPr>
        <w:ind w:left="120" w:right="180"/>
        <w:spacing w:after="0" w:line="309" w:lineRule="auto"/>
        <w:rPr>
          <w:sz w:val="20"/>
          <w:szCs w:val="20"/>
          <w:color w:val="auto"/>
        </w:rPr>
      </w:pPr>
      <w:r>
        <w:rPr>
          <w:rFonts w:ascii="Arial" w:cs="Arial" w:eastAsia="Arial" w:hAnsi="Arial"/>
          <w:sz w:val="16"/>
          <w:szCs w:val="16"/>
          <w:color w:val="auto"/>
        </w:rPr>
        <w:t>Our Compensation Committee consists of Ms. Laube and Mr. Loverro. The chair of our Compensation Committee is Ms. Laube. Our Board has determined that each of Ms. Laube and Mr. Loverro is independent under the Nasdaq Listing Rules, and a “non-employee director” as defined in Rule 16b-3 promulgated under the Exchange Act. Although we are a “controlled company” under the Nasdaq corporate governance rules and not required to have a compensation committee consisting solely of independent directors, our Compensation Committee is composed solely of independent directors. Our Compensation Committee is advised by Compensia, our independent executive compensation consultant.</w:t>
      </w:r>
    </w:p>
    <w:p>
      <w:pPr>
        <w:spacing w:after="0" w:line="179"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76" w:lineRule="exact"/>
        <w:rPr>
          <w:sz w:val="20"/>
          <w:szCs w:val="20"/>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recommending to our Board the compensation of our chief executive officer and other executive officers;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recommending to our Board the compensation of our directors;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administering our equity incentive plans and other benefit programs;</w:t>
      </w:r>
    </w:p>
    <w:p>
      <w:pPr>
        <w:spacing w:after="0" w:line="153" w:lineRule="exact"/>
        <w:rPr>
          <w:rFonts w:ascii="Arial" w:cs="Arial" w:eastAsia="Arial" w:hAnsi="Arial"/>
          <w:sz w:val="16"/>
          <w:szCs w:val="16"/>
          <w:color w:val="auto"/>
        </w:rPr>
      </w:pPr>
    </w:p>
    <w:p>
      <w:pPr>
        <w:ind w:left="540" w:right="60" w:hanging="316"/>
        <w:spacing w:after="0" w:line="32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establishing general policies relating to compensation and benefits of our employees, including our overall compensation philosophy.</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Board and Committee Responsibilities for Risk Oversight</w:t>
      </w:r>
    </w:p>
    <w:p>
      <w:pPr>
        <w:spacing w:after="0" w:line="249" w:lineRule="exact"/>
        <w:rPr>
          <w:sz w:val="20"/>
          <w:szCs w:val="20"/>
          <w:color w:val="auto"/>
        </w:rPr>
      </w:pPr>
    </w:p>
    <w:p>
      <w:pPr>
        <w:ind w:left="120" w:right="20"/>
        <w:spacing w:after="0" w:line="319" w:lineRule="auto"/>
        <w:rPr>
          <w:sz w:val="20"/>
          <w:szCs w:val="20"/>
          <w:color w:val="auto"/>
        </w:rPr>
      </w:pPr>
      <w:r>
        <w:rPr>
          <w:rFonts w:ascii="Arial" w:cs="Arial" w:eastAsia="Arial" w:hAnsi="Arial"/>
          <w:sz w:val="16"/>
          <w:szCs w:val="16"/>
          <w:color w:val="auto"/>
        </w:rPr>
        <w:t>Our Board has an oversight role, as a whole and also at the committee level, in overseeing management of the Company’s risks. While each committee is responsible for evaluating certain risks and overseeing the management of such risks, our entire Board is regularly informed through committee reports about such risks. Our Board oversees our risk management primarily through the matters noted below.</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Full Board</w:t>
      </w:r>
    </w:p>
    <w:p>
      <w:pPr>
        <w:spacing w:after="0" w:line="252"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Reviewing management’s business plan, budget, strategic plans and business developments.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Addressing emerging issues and innovation.</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Overseeing key strategic acquisitions, mergers and divestitures.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Overseeing management’s response to crises, including our response to the COVID-19 pandemic, and related reputational risks.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Overseeing ESG matters, including human capital management, corporate culture and sustainability matters.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Generally overseeing stockholder engagement.</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Succession planning for the Chief Executive Officer and other executive officers, as well as Board leadership.</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Reviewing qualifications, expertise, experience and characteristics of Board members and overseeing director nominations and appointments.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Overseeing Board structure and composition, and reviewing director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702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BOARD MATTERS</w:t>
      </w:r>
    </w:p>
    <w:p>
      <w:pPr>
        <w:spacing w:after="0" w:line="167"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Reviewing and approving Corporate Governance Guidelines and other key governance policies, and monitoring compliance.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Managing the evaluation process for our Board and committees, and overseeing related activities resulting from such review.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Audit Committee</w:t>
      </w:r>
    </w:p>
    <w:p>
      <w:pPr>
        <w:spacing w:after="0" w:line="252" w:lineRule="exact"/>
        <w:rPr>
          <w:sz w:val="20"/>
          <w:szCs w:val="20"/>
          <w:color w:val="auto"/>
        </w:rPr>
      </w:pPr>
    </w:p>
    <w:p>
      <w:pPr>
        <w:ind w:left="540" w:hanging="316"/>
        <w:spacing w:after="0" w:line="32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Overseeing our major financial risk exposures (including liquidity, capital spending, credit and financings) and management’s risk assessment and risk management policies.</w:t>
      </w:r>
    </w:p>
    <w:p>
      <w:pPr>
        <w:spacing w:after="0" w:line="61" w:lineRule="exact"/>
        <w:rPr>
          <w:rFonts w:ascii="Arial" w:cs="Arial" w:eastAsia="Arial" w:hAnsi="Arial"/>
          <w:sz w:val="16"/>
          <w:szCs w:val="16"/>
          <w:color w:val="auto"/>
        </w:rPr>
      </w:pPr>
    </w:p>
    <w:p>
      <w:pPr>
        <w:ind w:left="540" w:right="60" w:hanging="316"/>
        <w:spacing w:after="0" w:line="32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financial statements and SEC reports, including the adequacy of our internal control over financial reporting, disclosure processes and any mitigating activities adopted in response to material control deficiencies.</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Monitoring legal and regulatory compliance including compliance with the Company’s Code of Business Conduct.</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Regular oversight and consultations with the independent registered public accounting firm.</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Direct oversight of the internal audit group.</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Overseeing the whistleblower hotline processes for accounting and auditing matters.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in accordance with our Related Person Transaction policy.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w:t>
      </w:r>
    </w:p>
    <w:p>
      <w:pPr>
        <w:spacing w:after="0" w:line="252"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and approving compensation and severance/termination policies and agreements with executive officers.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Evaluating director and executive officer compensation programs.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Considering whether and how our executive compensation philosophy, policies and programs support our overall business strategy.</w:t>
      </w:r>
    </w:p>
    <w:p>
      <w:pPr>
        <w:spacing w:after="0" w:line="153" w:lineRule="exact"/>
        <w:rPr>
          <w:rFonts w:ascii="Arial" w:cs="Arial" w:eastAsia="Arial" w:hAnsi="Arial"/>
          <w:sz w:val="16"/>
          <w:szCs w:val="16"/>
          <w:color w:val="auto"/>
        </w:rPr>
      </w:pPr>
    </w:p>
    <w:p>
      <w:pPr>
        <w:ind w:left="540" w:right="400" w:hanging="316"/>
        <w:spacing w:after="0" w:line="32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Reviewing the material risks associated with our compensation structure, policies and programs for all employees to determine whether they encourage excessive risk-taking.</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Evaluating compensation policies and practices to mitigate risk.</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Directly overseeing stockholder engagement related to compensation matters.</w:t>
      </w:r>
    </w:p>
    <w:p>
      <w:pPr>
        <w:spacing w:after="0" w:line="248" w:lineRule="exact"/>
        <w:rPr>
          <w:sz w:val="20"/>
          <w:szCs w:val="20"/>
          <w:color w:val="auto"/>
        </w:rPr>
      </w:pPr>
    </w:p>
    <w:p>
      <w:pPr>
        <w:ind w:left="120" w:right="300"/>
        <w:spacing w:after="0" w:line="339" w:lineRule="auto"/>
        <w:rPr>
          <w:sz w:val="20"/>
          <w:szCs w:val="20"/>
          <w:color w:val="auto"/>
        </w:rPr>
      </w:pPr>
      <w:r>
        <w:rPr>
          <w:rFonts w:ascii="Arial" w:cs="Arial" w:eastAsia="Arial" w:hAnsi="Arial"/>
          <w:sz w:val="16"/>
          <w:szCs w:val="16"/>
          <w:color w:val="auto"/>
        </w:rPr>
        <w:t>Our Board and its committees have been, and continue to be, prepared to commit the necessary resources and time to oversee the management of critical matters of the Company, including in times of an actual or potential crisis.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Tailored Corporate Governance Policies to Ensure Integrity and Ethical Conduct</w:t>
      </w:r>
    </w:p>
    <w:p>
      <w:pPr>
        <w:spacing w:after="0" w:line="249" w:lineRule="exact"/>
        <w:rPr>
          <w:sz w:val="20"/>
          <w:szCs w:val="20"/>
          <w:color w:val="auto"/>
        </w:rPr>
      </w:pPr>
    </w:p>
    <w:p>
      <w:pPr>
        <w:ind w:left="120" w:right="140"/>
        <w:spacing w:after="0" w:line="339" w:lineRule="auto"/>
        <w:rPr>
          <w:sz w:val="20"/>
          <w:szCs w:val="20"/>
          <w:color w:val="auto"/>
        </w:rPr>
      </w:pPr>
      <w:r>
        <w:rPr>
          <w:rFonts w:ascii="Arial" w:cs="Arial" w:eastAsia="Arial" w:hAnsi="Arial"/>
          <w:sz w:val="16"/>
          <w:szCs w:val="16"/>
          <w:color w:val="auto"/>
        </w:rPr>
        <w:t>Our Board has adopted tailored governance practices appropriate for our newly public company status. Our policies align our corporate governance structure and our business strategy and culture, and enable our Board to effectively oversee our culture of compliance and rigorous risk management.</w:t>
      </w:r>
    </w:p>
    <w:p>
      <w:pPr>
        <w:spacing w:after="0" w:line="155" w:lineRule="exact"/>
        <w:rPr>
          <w:sz w:val="20"/>
          <w:szCs w:val="20"/>
          <w:color w:val="auto"/>
        </w:rPr>
      </w:pPr>
    </w:p>
    <w:p>
      <w:pPr>
        <w:ind w:left="120" w:right="720"/>
        <w:spacing w:after="0" w:line="339" w:lineRule="auto"/>
        <w:rPr>
          <w:sz w:val="20"/>
          <w:szCs w:val="20"/>
          <w:color w:val="auto"/>
        </w:rPr>
      </w:pPr>
      <w:r>
        <w:rPr>
          <w:rFonts w:ascii="Arial" w:cs="Arial" w:eastAsia="Arial" w:hAnsi="Arial"/>
          <w:sz w:val="16"/>
          <w:szCs w:val="16"/>
          <w:color w:val="auto"/>
        </w:rPr>
        <w:t>Copies of our Corporate Governance Guidelines and our Code of Business Conduct are available under the Governance tab of our website at https://investors.nerdwallet.com.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0980"/>
          </w:cols>
          <w:pgMar w:left="320" w:top="455" w:right="5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BOARD MATTERS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Code of Business Conduct—Establishing A Culture of Compliance</w:t>
      </w:r>
    </w:p>
    <w:p>
      <w:pPr>
        <w:spacing w:after="0" w:line="225" w:lineRule="exact"/>
        <w:rPr>
          <w:sz w:val="20"/>
          <w:szCs w:val="20"/>
          <w:color w:val="auto"/>
        </w:rPr>
      </w:pPr>
    </w:p>
    <w:p>
      <w:pPr>
        <w:ind w:left="120" w:right="80"/>
        <w:spacing w:after="0" w:line="307" w:lineRule="auto"/>
        <w:rPr>
          <w:sz w:val="20"/>
          <w:szCs w:val="20"/>
          <w:color w:val="auto"/>
        </w:rPr>
      </w:pPr>
      <w:r>
        <w:rPr>
          <w:rFonts w:ascii="Arial" w:cs="Arial" w:eastAsia="Arial" w:hAnsi="Arial"/>
          <w:sz w:val="16"/>
          <w:szCs w:val="16"/>
          <w:color w:val="auto"/>
        </w:rPr>
        <w:t>In September 2021, our Board adopted a Code of Business Conduct. Our Code of Business Conduct applies to all of our directors, officers and employees and is intended to comply with the relevant listing requirements for a code of conduct as well as qualify as a “code of ethics” as defined by the rules of the SEC. The Code of Business Conduct contains general guidelines for conducting our business consistent with the highest standards of business ethics. We intend to disclose future amendments to certain provisions of our Code of Business Conduct, or waivers of such provisions applicable to any principal executive officer, principal financial officer, principal accounting officer and controller, or persons performing similar functions, and our directors, on our website at https://investors.nerdwallet.com or via a Current Report on Form 8-K.</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Corporate Governance Guidelines—Establishing Core Principles of Governance</w:t>
      </w:r>
    </w:p>
    <w:p>
      <w:pPr>
        <w:spacing w:after="0" w:line="225" w:lineRule="exact"/>
        <w:rPr>
          <w:sz w:val="20"/>
          <w:szCs w:val="20"/>
          <w:color w:val="auto"/>
        </w:rPr>
      </w:pPr>
    </w:p>
    <w:p>
      <w:pPr>
        <w:ind w:left="120" w:right="20"/>
        <w:spacing w:after="0" w:line="309" w:lineRule="auto"/>
        <w:rPr>
          <w:sz w:val="20"/>
          <w:szCs w:val="20"/>
          <w:color w:val="auto"/>
        </w:rPr>
      </w:pPr>
      <w:r>
        <w:rPr>
          <w:rFonts w:ascii="Arial" w:cs="Arial" w:eastAsia="Arial" w:hAnsi="Arial"/>
          <w:sz w:val="16"/>
          <w:szCs w:val="16"/>
          <w:color w:val="auto"/>
        </w:rPr>
        <w:t>We believe that good corporate governance promotes the effective functioning of our Board and its committees and helps to ensure that the Company is managed for the long-term benefits of our stockholders. We regularly review and consider our corporate governance policies and practices, the SEC’s corporate governance rules and regulations, and the Nasdaq Listing Rules. In September 2021, our Board adopted our Corporate Governance Guidelines to provide a framework for the governance of the Company as a whole and describe the principles and practices that our Board follows in carrying out its responsibilities.</w:t>
      </w:r>
    </w:p>
    <w:p>
      <w:pPr>
        <w:spacing w:after="0" w:line="179" w:lineRule="exact"/>
        <w:rPr>
          <w:sz w:val="20"/>
          <w:szCs w:val="20"/>
          <w:color w:val="auto"/>
        </w:rPr>
      </w:pPr>
    </w:p>
    <w:p>
      <w:pPr>
        <w:ind w:left="120" w:right="40"/>
        <w:spacing w:after="0" w:line="309" w:lineRule="auto"/>
        <w:rPr>
          <w:sz w:val="20"/>
          <w:szCs w:val="20"/>
          <w:color w:val="auto"/>
        </w:rPr>
      </w:pPr>
      <w:r>
        <w:rPr>
          <w:rFonts w:ascii="Arial" w:cs="Arial" w:eastAsia="Arial" w:hAnsi="Arial"/>
          <w:sz w:val="16"/>
          <w:szCs w:val="16"/>
          <w:color w:val="auto"/>
        </w:rPr>
        <w:t>Such Corporate Governance Guidelines will be regularly reviewed by our Board to ensure that they effectively promote the best interests of both the Company and our stockholders and that they comply with all applicable laws, regulations and Nasdaq Listing Rules. The Corporate Governance Guidelines address, among other things, the size, composition, structure, leadership and policies of our Board and its committees, the responsibilities and authority of our Chairman and lead director (if any), director qualification standards, expectations and responsibilities of directors, management succession planning and the evaluation of Board performance.</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Insider Trading Policy—Addressing Pledging and Hedging Guidance</w:t>
      </w:r>
    </w:p>
    <w:p>
      <w:pPr>
        <w:spacing w:after="0" w:line="225" w:lineRule="exact"/>
        <w:rPr>
          <w:sz w:val="20"/>
          <w:szCs w:val="20"/>
          <w:color w:val="auto"/>
        </w:rPr>
      </w:pPr>
    </w:p>
    <w:p>
      <w:pPr>
        <w:ind w:left="120" w:right="320"/>
        <w:spacing w:after="0" w:line="339" w:lineRule="auto"/>
        <w:rPr>
          <w:sz w:val="20"/>
          <w:szCs w:val="20"/>
          <w:color w:val="auto"/>
        </w:rPr>
      </w:pPr>
      <w:r>
        <w:rPr>
          <w:rFonts w:ascii="Arial" w:cs="Arial" w:eastAsia="Arial" w:hAnsi="Arial"/>
          <w:sz w:val="16"/>
          <w:szCs w:val="16"/>
          <w:color w:val="auto"/>
        </w:rPr>
        <w:t>We believe it is improper and inappropriate for any person to engage in short-term or speculative transactions involving our securities. We prohibit our officers, directors and employees from engaging in any of the following activities with respect to our securities:</w:t>
      </w:r>
    </w:p>
    <w:p>
      <w:pPr>
        <w:spacing w:after="0" w:line="61" w:lineRule="exact"/>
        <w:rPr>
          <w:sz w:val="20"/>
          <w:szCs w:val="20"/>
          <w:color w:val="auto"/>
        </w:rPr>
      </w:pPr>
    </w:p>
    <w:p>
      <w:pPr>
        <w:ind w:left="540" w:right="60" w:hanging="316"/>
        <w:spacing w:after="0" w:line="32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Pledging/purchases of securities on margin. Our officers, directors and employees are prohibited from pledging our securities as security for margin accounts.</w:t>
      </w:r>
    </w:p>
    <w:p>
      <w:pPr>
        <w:spacing w:after="0" w:line="61" w:lineRule="exact"/>
        <w:rPr>
          <w:rFonts w:ascii="Arial" w:cs="Arial" w:eastAsia="Arial" w:hAnsi="Arial"/>
          <w:sz w:val="16"/>
          <w:szCs w:val="16"/>
          <w:color w:val="auto"/>
        </w:rPr>
      </w:pPr>
    </w:p>
    <w:p>
      <w:pPr>
        <w:ind w:left="540" w:right="700" w:hanging="316"/>
        <w:spacing w:after="0" w:line="32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Short sales. Our Insider Trading Policy prohibits all officers, directors and employees from selling Company securities they do not own and borrowing the shares to make delivery.</w:t>
      </w:r>
    </w:p>
    <w:p>
      <w:pPr>
        <w:spacing w:after="0" w:line="61" w:lineRule="exact"/>
        <w:rPr>
          <w:rFonts w:ascii="Arial" w:cs="Arial" w:eastAsia="Arial" w:hAnsi="Arial"/>
          <w:sz w:val="16"/>
          <w:szCs w:val="16"/>
          <w:color w:val="auto"/>
        </w:rPr>
      </w:pPr>
    </w:p>
    <w:p>
      <w:pPr>
        <w:ind w:left="540" w:right="140" w:hanging="316"/>
        <w:spacing w:after="0" w:line="32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Buying or selling puts, calls, options or other derivatives in respect of our securities is prohibited. This prohibition extends to any instrument whose value is derived from the value of any of our securities.</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Hedging transactions. Our officers, directors and employees are prohibited from entering into hedging transactions.</w:t>
      </w:r>
    </w:p>
    <w:p>
      <w:pPr>
        <w:spacing w:after="0" w:line="332" w:lineRule="exact"/>
        <w:rPr>
          <w:sz w:val="20"/>
          <w:szCs w:val="20"/>
          <w:color w:val="auto"/>
        </w:rPr>
      </w:pPr>
    </w:p>
    <w:p>
      <w:pPr>
        <w:ind w:left="120" w:right="840"/>
        <w:spacing w:after="0" w:line="298" w:lineRule="auto"/>
        <w:rPr>
          <w:sz w:val="20"/>
          <w:szCs w:val="20"/>
          <w:color w:val="auto"/>
        </w:rPr>
      </w:pPr>
      <w:r>
        <w:rPr>
          <w:rFonts w:ascii="Arial" w:cs="Arial" w:eastAsia="Arial" w:hAnsi="Arial"/>
          <w:sz w:val="25"/>
          <w:szCs w:val="25"/>
          <w:b w:val="1"/>
          <w:bCs w:val="1"/>
          <w:color w:val="auto"/>
        </w:rPr>
        <w:t>Board Evaluation Process—Assisting in the Transition to a Public Company Model of Governance</w:t>
      </w:r>
    </w:p>
    <w:p>
      <w:pPr>
        <w:spacing w:after="0" w:line="120"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color w:val="auto"/>
        </w:rPr>
        <w:t>Our Board believes it is important to assess its overall performance and the performance of our Board committees in order to serve the best interests of our stockholders and position the Company for future success. Beginning in 2022, our Board and each committee will conduct such annual evaluations to determine whether it and its committees are functioning effectively. Our Board will oversee the determination and implementation of an appropriate process and recommended activities in response to such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BOARD MATTERS</w:t>
      </w:r>
    </w:p>
    <w:p>
      <w:pPr>
        <w:spacing w:after="0" w:line="143" w:lineRule="exact"/>
        <w:rPr>
          <w:sz w:val="20"/>
          <w:szCs w:val="20"/>
          <w:color w:val="auto"/>
        </w:rPr>
      </w:pPr>
    </w:p>
    <w:p>
      <w:pPr>
        <w:ind w:left="120" w:right="500"/>
        <w:spacing w:after="0" w:line="273" w:lineRule="auto"/>
        <w:rPr>
          <w:sz w:val="20"/>
          <w:szCs w:val="20"/>
          <w:color w:val="auto"/>
        </w:rPr>
      </w:pPr>
      <w:r>
        <w:rPr>
          <w:rFonts w:ascii="Arial" w:cs="Arial" w:eastAsia="Arial" w:hAnsi="Arial"/>
          <w:sz w:val="25"/>
          <w:szCs w:val="25"/>
          <w:b w:val="1"/>
          <w:bCs w:val="1"/>
          <w:color w:val="auto"/>
        </w:rPr>
        <w:t>Director Onboarding and Continuing Education—Connecting New Directors to the Company’s Unique Culture and Business, and Maintaining Key Expertise in an Evolving Regulatory and Business Landscape</w:t>
      </w:r>
    </w:p>
    <w:p>
      <w:pPr>
        <w:spacing w:after="0" w:line="150" w:lineRule="exact"/>
        <w:rPr>
          <w:sz w:val="20"/>
          <w:szCs w:val="20"/>
          <w:color w:val="auto"/>
        </w:rPr>
      </w:pPr>
    </w:p>
    <w:p>
      <w:pPr>
        <w:jc w:val="both"/>
        <w:ind w:left="120" w:right="160"/>
        <w:spacing w:after="0" w:line="319" w:lineRule="auto"/>
        <w:rPr>
          <w:sz w:val="20"/>
          <w:szCs w:val="20"/>
          <w:color w:val="auto"/>
        </w:rPr>
      </w:pPr>
      <w:r>
        <w:rPr>
          <w:rFonts w:ascii="Arial" w:cs="Arial" w:eastAsia="Arial" w:hAnsi="Arial"/>
          <w:sz w:val="16"/>
          <w:szCs w:val="16"/>
          <w:color w:val="auto"/>
        </w:rPr>
        <w:t>Our Board oversees the Company’s orientation programs for new directors and continuing education programs for existing directors. Each new director, upon joining our Board, is provided with an orientation session regarding our Board and the Company’s operations. As part of this orientation, each new director has an opportunity to meet with members of senior management of the Company.</w:t>
      </w:r>
    </w:p>
    <w:p>
      <w:pPr>
        <w:spacing w:after="0" w:line="171" w:lineRule="exact"/>
        <w:rPr>
          <w:sz w:val="20"/>
          <w:szCs w:val="20"/>
          <w:color w:val="auto"/>
        </w:rPr>
      </w:pPr>
    </w:p>
    <w:p>
      <w:pPr>
        <w:ind w:left="120" w:right="440"/>
        <w:spacing w:after="0" w:line="339" w:lineRule="auto"/>
        <w:rPr>
          <w:sz w:val="20"/>
          <w:szCs w:val="20"/>
          <w:color w:val="auto"/>
        </w:rPr>
      </w:pPr>
      <w:r>
        <w:rPr>
          <w:rFonts w:ascii="Arial" w:cs="Arial" w:eastAsia="Arial" w:hAnsi="Arial"/>
          <w:sz w:val="16"/>
          <w:szCs w:val="16"/>
          <w:color w:val="auto"/>
        </w:rPr>
        <w:t>Directors are encouraged to participate in continuing education on various subjects that will assist them in discharging their duties. This may include seminars, conferences and other continuing education programs designed for directors of public companies.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Communications With Our Board</w:t>
      </w:r>
    </w:p>
    <w:p>
      <w:pPr>
        <w:spacing w:after="0" w:line="24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If you want to communicate with the non-management members of our Board , you should send a letter to any such director at 55 Hawthorne Street,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San Francisco, California 94105 or to the e-mail address </w:t>
      </w:r>
      <w:r>
        <w:rPr>
          <w:rFonts w:ascii="Arial" w:cs="Arial" w:eastAsia="Arial" w:hAnsi="Arial"/>
          <w:sz w:val="16"/>
          <w:szCs w:val="16"/>
          <w:u w:val="single" w:color="auto"/>
          <w:color w:val="auto"/>
        </w:rPr>
        <w:t>nwboardofdirectors@nerdwallet.com</w:t>
      </w:r>
      <w:r>
        <w:rPr>
          <w:rFonts w:ascii="Arial" w:cs="Arial" w:eastAsia="Arial" w:hAnsi="Arial"/>
          <w:sz w:val="16"/>
          <w:szCs w:val="16"/>
          <w:color w:val="auto"/>
        </w:rPr>
        <w:t>. The Corporate Secretary may sort or summarize the communications as appropriate. Communications that are commercial solicitations, customer complaints, incoherent or inappropriate will not be communicated to the non-management members of our Board.</w:t>
      </w:r>
    </w:p>
    <w:p>
      <w:pPr>
        <w:spacing w:after="0" w:line="222" w:lineRule="exact"/>
        <w:rPr>
          <w:sz w:val="20"/>
          <w:szCs w:val="20"/>
          <w:color w:val="auto"/>
        </w:rPr>
      </w:pPr>
    </w:p>
    <w:p>
      <w:pPr>
        <w:ind w:left="120" w:right="320"/>
        <w:spacing w:after="0" w:line="319" w:lineRule="auto"/>
        <w:rPr>
          <w:sz w:val="20"/>
          <w:szCs w:val="20"/>
          <w:color w:val="auto"/>
        </w:rPr>
      </w:pPr>
      <w:r>
        <w:rPr>
          <w:rFonts w:ascii="Arial" w:cs="Arial" w:eastAsia="Arial" w:hAnsi="Arial"/>
          <w:sz w:val="16"/>
          <w:szCs w:val="16"/>
          <w:color w:val="auto"/>
        </w:rPr>
        <w:t xml:space="preserve">To submit concerns regarding accounting, internal accounting controls or auditing matters, you may email the Chair of our Audit Committee at </w:t>
      </w:r>
      <w:r>
        <w:rPr>
          <w:rFonts w:ascii="Arial" w:cs="Arial" w:eastAsia="Arial" w:hAnsi="Arial"/>
          <w:sz w:val="16"/>
          <w:szCs w:val="16"/>
          <w:u w:val="single" w:color="auto"/>
          <w:color w:val="auto"/>
        </w:rPr>
        <w:t>auditchair@nerdwallet.com</w:t>
      </w:r>
      <w:r>
        <w:rPr>
          <w:rFonts w:ascii="Arial" w:cs="Arial" w:eastAsia="Arial" w:hAnsi="Arial"/>
          <w:sz w:val="16"/>
          <w:szCs w:val="16"/>
          <w:color w:val="auto"/>
        </w:rPr>
        <w:t xml:space="preserve"> or call our reporting hotline at 1-877-647-3335. NerdWallet employees may submit such concerns on a confidential or anonymous basis. Communications made through the confidential hotline will be reviewed by our Audit Committee in accordance with its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80" w:hanging="741"/>
        <w:spacing w:after="0"/>
        <w:tabs>
          <w:tab w:leader="none" w:pos="108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BOARD MATTERS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Compensation of Non-Employee Directors</w:t>
      </w:r>
    </w:p>
    <w:p>
      <w:pPr>
        <w:spacing w:after="0" w:line="249" w:lineRule="exact"/>
        <w:rPr>
          <w:sz w:val="20"/>
          <w:szCs w:val="20"/>
          <w:color w:val="auto"/>
        </w:rPr>
      </w:pPr>
    </w:p>
    <w:p>
      <w:pPr>
        <w:ind w:left="120" w:right="360"/>
        <w:spacing w:after="0" w:line="339" w:lineRule="auto"/>
        <w:rPr>
          <w:sz w:val="20"/>
          <w:szCs w:val="20"/>
          <w:color w:val="auto"/>
        </w:rPr>
      </w:pPr>
      <w:r>
        <w:rPr>
          <w:rFonts w:ascii="Arial" w:cs="Arial" w:eastAsia="Arial" w:hAnsi="Arial"/>
          <w:sz w:val="16"/>
          <w:szCs w:val="16"/>
          <w:color w:val="auto"/>
        </w:rPr>
        <w:t>In connection with and effective upon our IPO, we implemented a policy pursuant to which each non-employee director will receive the following cash compensation for service on our Board , paid quarterly, in arrears on the last day of each fiscal quarter in which the service occurred:</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420" w:type="dxa"/>
            <w:vAlign w:val="bottom"/>
            <w:tcBorders>
              <w:top w:val="single" w:sz="8" w:color="60BAFF"/>
            </w:tcBorders>
            <w:shd w:val="clear" w:color="auto" w:fill="F2FFFF"/>
          </w:tcPr>
          <w:p>
            <w:pPr>
              <w:spacing w:after="0"/>
              <w:rPr>
                <w:sz w:val="20"/>
                <w:szCs w:val="20"/>
                <w:color w:val="auto"/>
              </w:rPr>
            </w:pPr>
            <w:r>
              <w:rPr>
                <w:rFonts w:ascii="Arial" w:cs="Arial" w:eastAsia="Arial" w:hAnsi="Arial"/>
                <w:sz w:val="16"/>
                <w:szCs w:val="16"/>
                <w:b w:val="1"/>
                <w:bCs w:val="1"/>
                <w:color w:val="auto"/>
              </w:rPr>
              <w:t>Compensation of</w:t>
            </w:r>
          </w:p>
        </w:tc>
        <w:tc>
          <w:tcPr>
            <w:tcW w:w="8600" w:type="dxa"/>
            <w:vAlign w:val="bottom"/>
            <w:tcBorders>
              <w:top w:val="single" w:sz="8" w:color="60BAFF"/>
            </w:tcBorders>
          </w:tcPr>
          <w:p>
            <w:pPr>
              <w:ind w:left="300"/>
              <w:spacing w:after="0"/>
              <w:rPr>
                <w:sz w:val="20"/>
                <w:szCs w:val="20"/>
                <w:color w:val="auto"/>
              </w:rPr>
            </w:pPr>
            <w:r>
              <w:rPr>
                <w:rFonts w:ascii="Arial" w:cs="Arial" w:eastAsia="Arial" w:hAnsi="Arial"/>
                <w:sz w:val="16"/>
                <w:szCs w:val="16"/>
                <w:color w:val="60BAFF"/>
              </w:rPr>
              <w:t xml:space="preserve">• </w:t>
            </w:r>
            <w:r>
              <w:rPr>
                <w:rFonts w:ascii="Arial" w:cs="Arial" w:eastAsia="Arial" w:hAnsi="Arial"/>
                <w:sz w:val="16"/>
                <w:szCs w:val="16"/>
                <w:color w:val="000000"/>
              </w:rPr>
              <w:t>Board Member — $50,000</w:t>
            </w:r>
          </w:p>
        </w:tc>
        <w:tc>
          <w:tcPr>
            <w:tcW w:w="0" w:type="dxa"/>
            <w:vAlign w:val="bottom"/>
          </w:tcPr>
          <w:p>
            <w:pPr>
              <w:spacing w:after="0"/>
              <w:rPr>
                <w:sz w:val="1"/>
                <w:szCs w:val="1"/>
                <w:color w:val="auto"/>
              </w:rPr>
            </w:pPr>
          </w:p>
        </w:tc>
      </w:tr>
      <w:tr>
        <w:trPr>
          <w:trHeight w:val="223"/>
        </w:trPr>
        <w:tc>
          <w:tcPr>
            <w:tcW w:w="2420" w:type="dxa"/>
            <w:vAlign w:val="bottom"/>
            <w:shd w:val="clear" w:color="auto" w:fill="F2FFFF"/>
          </w:tcPr>
          <w:p>
            <w:pPr>
              <w:spacing w:after="0"/>
              <w:rPr>
                <w:sz w:val="20"/>
                <w:szCs w:val="20"/>
                <w:color w:val="auto"/>
              </w:rPr>
            </w:pPr>
            <w:r>
              <w:rPr>
                <w:rFonts w:ascii="Arial" w:cs="Arial" w:eastAsia="Arial" w:hAnsi="Arial"/>
                <w:sz w:val="16"/>
                <w:szCs w:val="16"/>
                <w:b w:val="1"/>
                <w:bCs w:val="1"/>
                <w:color w:val="auto"/>
              </w:rPr>
              <w:t>Non-Employee Directors</w:t>
            </w:r>
          </w:p>
        </w:tc>
        <w:tc>
          <w:tcPr>
            <w:tcW w:w="8600" w:type="dxa"/>
            <w:vAlign w:val="bottom"/>
            <w:vMerge w:val="restart"/>
          </w:tcPr>
          <w:p>
            <w:pPr>
              <w:ind w:left="300"/>
              <w:spacing w:after="0"/>
              <w:rPr>
                <w:sz w:val="20"/>
                <w:szCs w:val="20"/>
                <w:color w:val="auto"/>
              </w:rPr>
            </w:pPr>
            <w:r>
              <w:rPr>
                <w:rFonts w:ascii="Arial" w:cs="Arial" w:eastAsia="Arial" w:hAnsi="Arial"/>
                <w:sz w:val="16"/>
                <w:szCs w:val="16"/>
                <w:color w:val="60BAFF"/>
              </w:rPr>
              <w:t xml:space="preserve">• </w:t>
            </w:r>
            <w:r>
              <w:rPr>
                <w:rFonts w:ascii="Arial" w:cs="Arial" w:eastAsia="Arial" w:hAnsi="Arial"/>
                <w:sz w:val="16"/>
                <w:szCs w:val="16"/>
                <w:color w:val="000000"/>
              </w:rPr>
              <w:t>Audit Committee Chair — $20,000</w:t>
            </w:r>
          </w:p>
        </w:tc>
        <w:tc>
          <w:tcPr>
            <w:tcW w:w="0" w:type="dxa"/>
            <w:vAlign w:val="bottom"/>
          </w:tcPr>
          <w:p>
            <w:pPr>
              <w:spacing w:after="0"/>
              <w:rPr>
                <w:sz w:val="1"/>
                <w:szCs w:val="1"/>
                <w:color w:val="auto"/>
              </w:rPr>
            </w:pPr>
          </w:p>
        </w:tc>
      </w:tr>
      <w:tr>
        <w:trPr>
          <w:trHeight w:val="167"/>
        </w:trPr>
        <w:tc>
          <w:tcPr>
            <w:tcW w:w="2420" w:type="dxa"/>
            <w:vAlign w:val="bottom"/>
            <w:shd w:val="clear" w:color="auto" w:fill="F2FFFF"/>
          </w:tcPr>
          <w:p>
            <w:pPr>
              <w:spacing w:after="0"/>
              <w:rPr>
                <w:sz w:val="14"/>
                <w:szCs w:val="14"/>
                <w:color w:val="auto"/>
              </w:rPr>
            </w:pPr>
          </w:p>
        </w:tc>
        <w:tc>
          <w:tcPr>
            <w:tcW w:w="8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420" w:type="dxa"/>
            <w:vAlign w:val="bottom"/>
            <w:shd w:val="clear" w:color="auto" w:fill="F2FFFF"/>
          </w:tcPr>
          <w:p>
            <w:pPr>
              <w:spacing w:after="0"/>
              <w:rPr>
                <w:sz w:val="24"/>
                <w:szCs w:val="24"/>
                <w:color w:val="auto"/>
              </w:rPr>
            </w:pPr>
          </w:p>
        </w:tc>
        <w:tc>
          <w:tcPr>
            <w:tcW w:w="8600" w:type="dxa"/>
            <w:vAlign w:val="bottom"/>
          </w:tcPr>
          <w:p>
            <w:pPr>
              <w:ind w:left="300"/>
              <w:spacing w:after="0"/>
              <w:rPr>
                <w:sz w:val="20"/>
                <w:szCs w:val="20"/>
                <w:color w:val="auto"/>
              </w:rPr>
            </w:pPr>
            <w:r>
              <w:rPr>
                <w:rFonts w:ascii="Arial" w:cs="Arial" w:eastAsia="Arial" w:hAnsi="Arial"/>
                <w:sz w:val="16"/>
                <w:szCs w:val="16"/>
                <w:color w:val="60BAFF"/>
              </w:rPr>
              <w:t xml:space="preserve">• </w:t>
            </w:r>
            <w:r>
              <w:rPr>
                <w:rFonts w:ascii="Arial" w:cs="Arial" w:eastAsia="Arial" w:hAnsi="Arial"/>
                <w:sz w:val="16"/>
                <w:szCs w:val="16"/>
                <w:color w:val="000000"/>
              </w:rPr>
              <w:t>Compensation Committee Chair — $12,000</w:t>
            </w:r>
          </w:p>
        </w:tc>
        <w:tc>
          <w:tcPr>
            <w:tcW w:w="0" w:type="dxa"/>
            <w:vAlign w:val="bottom"/>
          </w:tcPr>
          <w:p>
            <w:pPr>
              <w:spacing w:after="0"/>
              <w:rPr>
                <w:sz w:val="1"/>
                <w:szCs w:val="1"/>
                <w:color w:val="auto"/>
              </w:rPr>
            </w:pPr>
          </w:p>
        </w:tc>
      </w:tr>
      <w:tr>
        <w:trPr>
          <w:trHeight w:val="351"/>
        </w:trPr>
        <w:tc>
          <w:tcPr>
            <w:tcW w:w="2420" w:type="dxa"/>
            <w:vAlign w:val="bottom"/>
            <w:shd w:val="clear" w:color="auto" w:fill="F2FFFF"/>
          </w:tcPr>
          <w:p>
            <w:pPr>
              <w:spacing w:after="0"/>
              <w:rPr>
                <w:sz w:val="24"/>
                <w:szCs w:val="24"/>
                <w:color w:val="auto"/>
              </w:rPr>
            </w:pPr>
          </w:p>
        </w:tc>
        <w:tc>
          <w:tcPr>
            <w:tcW w:w="8600" w:type="dxa"/>
            <w:vAlign w:val="bottom"/>
          </w:tcPr>
          <w:p>
            <w:pPr>
              <w:ind w:left="300"/>
              <w:spacing w:after="0"/>
              <w:rPr>
                <w:sz w:val="20"/>
                <w:szCs w:val="20"/>
                <w:color w:val="auto"/>
              </w:rPr>
            </w:pPr>
            <w:r>
              <w:rPr>
                <w:rFonts w:ascii="Arial" w:cs="Arial" w:eastAsia="Arial" w:hAnsi="Arial"/>
                <w:sz w:val="16"/>
                <w:szCs w:val="16"/>
                <w:color w:val="60BAFF"/>
              </w:rPr>
              <w:t xml:space="preserve">• </w:t>
            </w:r>
            <w:r>
              <w:rPr>
                <w:rFonts w:ascii="Arial" w:cs="Arial" w:eastAsia="Arial" w:hAnsi="Arial"/>
                <w:sz w:val="16"/>
                <w:szCs w:val="16"/>
                <w:color w:val="000000"/>
              </w:rPr>
              <w:t>Audit Committee Member — $10,000</w:t>
            </w:r>
          </w:p>
        </w:tc>
        <w:tc>
          <w:tcPr>
            <w:tcW w:w="0" w:type="dxa"/>
            <w:vAlign w:val="bottom"/>
          </w:tcPr>
          <w:p>
            <w:pPr>
              <w:spacing w:after="0"/>
              <w:rPr>
                <w:sz w:val="1"/>
                <w:szCs w:val="1"/>
                <w:color w:val="auto"/>
              </w:rPr>
            </w:pPr>
          </w:p>
        </w:tc>
      </w:tr>
      <w:tr>
        <w:trPr>
          <w:trHeight w:val="351"/>
        </w:trPr>
        <w:tc>
          <w:tcPr>
            <w:tcW w:w="2420" w:type="dxa"/>
            <w:vAlign w:val="bottom"/>
            <w:shd w:val="clear" w:color="auto" w:fill="F2FFFF"/>
          </w:tcPr>
          <w:p>
            <w:pPr>
              <w:spacing w:after="0"/>
              <w:rPr>
                <w:sz w:val="24"/>
                <w:szCs w:val="24"/>
                <w:color w:val="auto"/>
              </w:rPr>
            </w:pPr>
          </w:p>
        </w:tc>
        <w:tc>
          <w:tcPr>
            <w:tcW w:w="8600" w:type="dxa"/>
            <w:vAlign w:val="bottom"/>
          </w:tcPr>
          <w:p>
            <w:pPr>
              <w:ind w:left="300"/>
              <w:spacing w:after="0"/>
              <w:rPr>
                <w:sz w:val="20"/>
                <w:szCs w:val="20"/>
                <w:color w:val="auto"/>
              </w:rPr>
            </w:pPr>
            <w:r>
              <w:rPr>
                <w:rFonts w:ascii="Arial" w:cs="Arial" w:eastAsia="Arial" w:hAnsi="Arial"/>
                <w:sz w:val="16"/>
                <w:szCs w:val="16"/>
                <w:color w:val="60BAFF"/>
              </w:rPr>
              <w:t xml:space="preserve">• </w:t>
            </w:r>
            <w:r>
              <w:rPr>
                <w:rFonts w:ascii="Arial" w:cs="Arial" w:eastAsia="Arial" w:hAnsi="Arial"/>
                <w:sz w:val="16"/>
                <w:szCs w:val="16"/>
                <w:color w:val="000000"/>
              </w:rPr>
              <w:t>Compensation Committee Member — $6,000</w:t>
            </w:r>
          </w:p>
        </w:tc>
        <w:tc>
          <w:tcPr>
            <w:tcW w:w="0" w:type="dxa"/>
            <w:vAlign w:val="bottom"/>
          </w:tcPr>
          <w:p>
            <w:pPr>
              <w:spacing w:after="0"/>
              <w:rPr>
                <w:sz w:val="1"/>
                <w:szCs w:val="1"/>
                <w:color w:val="auto"/>
              </w:rPr>
            </w:pPr>
          </w:p>
        </w:tc>
      </w:tr>
      <w:tr>
        <w:trPr>
          <w:trHeight w:val="110"/>
        </w:trPr>
        <w:tc>
          <w:tcPr>
            <w:tcW w:w="2420" w:type="dxa"/>
            <w:vAlign w:val="bottom"/>
            <w:tcBorders>
              <w:bottom w:val="single" w:sz="8" w:color="60BAFF"/>
            </w:tcBorders>
            <w:shd w:val="clear" w:color="auto" w:fill="F2FFFF"/>
          </w:tcPr>
          <w:p>
            <w:pPr>
              <w:spacing w:after="0"/>
              <w:rPr>
                <w:sz w:val="9"/>
                <w:szCs w:val="9"/>
                <w:color w:val="auto"/>
              </w:rPr>
            </w:pPr>
          </w:p>
        </w:tc>
        <w:tc>
          <w:tcPr>
            <w:tcW w:w="8600" w:type="dxa"/>
            <w:vAlign w:val="bottom"/>
            <w:tcBorders>
              <w:bottom w:val="single" w:sz="8" w:color="60BA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40"/>
        <w:spacing w:after="0" w:line="309" w:lineRule="auto"/>
        <w:rPr>
          <w:sz w:val="20"/>
          <w:szCs w:val="20"/>
          <w:color w:val="auto"/>
        </w:rPr>
      </w:pPr>
      <w:r>
        <w:rPr>
          <w:rFonts w:ascii="Arial" w:cs="Arial" w:eastAsia="Arial" w:hAnsi="Arial"/>
          <w:sz w:val="16"/>
          <w:szCs w:val="16"/>
          <w:color w:val="auto"/>
        </w:rPr>
        <w:t>In addition, each non-employee director who is elected or appointed to our Board in the future first will automatically be granted, upon the date of such election or appointment, an initial, one-time grant of restricted stock units with an aggregate grant date value of $300,000, vesting in three equal annual installments following such election or appointment date, subject to the non-employee director’s remaining in our continuous service through each vesting date. Such grant will vest in full upon our change in control, subject to the non-employee director remaining in our continuous service through such change in control date.</w:t>
      </w:r>
    </w:p>
    <w:p>
      <w:pPr>
        <w:spacing w:after="0" w:line="179" w:lineRule="exact"/>
        <w:rPr>
          <w:sz w:val="20"/>
          <w:szCs w:val="20"/>
          <w:color w:val="auto"/>
        </w:rPr>
      </w:pPr>
    </w:p>
    <w:p>
      <w:pPr>
        <w:ind w:left="120" w:right="140"/>
        <w:spacing w:after="0" w:line="309" w:lineRule="auto"/>
        <w:rPr>
          <w:sz w:val="20"/>
          <w:szCs w:val="20"/>
          <w:color w:val="auto"/>
        </w:rPr>
      </w:pPr>
      <w:r>
        <w:rPr>
          <w:rFonts w:ascii="Arial" w:cs="Arial" w:eastAsia="Arial" w:hAnsi="Arial"/>
          <w:sz w:val="16"/>
          <w:szCs w:val="16"/>
          <w:color w:val="auto"/>
        </w:rPr>
        <w:t>Further, on the date of each annual meeting, commencing with this Annual Meeting, each non-employee director who has completed at least three months of continuous service as a non-employee director as of the date of such annual meeting and who will continue to serve as a non-employee member of our Board following such annual meeting will automatically be granted restricted stock units with an aggregate grant date value of $150,000, provided that an eligible non-employee director who received an initial grant at least three, but less than six, months prior to the annual meeting date will be granted restricted stock units with an aggregate grant date fair value of $75,000.</w:t>
      </w:r>
    </w:p>
    <w:p>
      <w:pPr>
        <w:spacing w:after="0" w:line="179" w:lineRule="exact"/>
        <w:rPr>
          <w:sz w:val="20"/>
          <w:szCs w:val="20"/>
          <w:color w:val="auto"/>
        </w:rPr>
      </w:pPr>
    </w:p>
    <w:p>
      <w:pPr>
        <w:ind w:left="120" w:right="100"/>
        <w:spacing w:after="0" w:line="319" w:lineRule="auto"/>
        <w:rPr>
          <w:sz w:val="20"/>
          <w:szCs w:val="20"/>
          <w:color w:val="auto"/>
        </w:rPr>
      </w:pPr>
      <w:r>
        <w:rPr>
          <w:rFonts w:ascii="Arial" w:cs="Arial" w:eastAsia="Arial" w:hAnsi="Arial"/>
          <w:sz w:val="16"/>
          <w:szCs w:val="16"/>
          <w:color w:val="auto"/>
        </w:rPr>
        <w:t>The annual grant of restricted stock units will vest on the earlier to occur of the one-year anniversary of the grant date and the day prior to the date of our next annual meeting, subject to the non-employee director remaining in our continuous service through the vesting date. Such grant will also vest in full upon our change in control, subject to the non-employee director remaining in our continuous service through such change in control date.</w:t>
      </w:r>
    </w:p>
    <w:p>
      <w:pPr>
        <w:spacing w:after="0" w:line="171" w:lineRule="exact"/>
        <w:rPr>
          <w:sz w:val="20"/>
          <w:szCs w:val="20"/>
          <w:color w:val="auto"/>
        </w:rPr>
      </w:pPr>
    </w:p>
    <w:p>
      <w:pPr>
        <w:ind w:left="120" w:right="280"/>
        <w:spacing w:after="0" w:line="339" w:lineRule="auto"/>
        <w:rPr>
          <w:sz w:val="20"/>
          <w:szCs w:val="20"/>
          <w:color w:val="auto"/>
        </w:rPr>
      </w:pPr>
      <w:r>
        <w:rPr>
          <w:rFonts w:ascii="Arial" w:cs="Arial" w:eastAsia="Arial" w:hAnsi="Arial"/>
          <w:sz w:val="16"/>
          <w:szCs w:val="16"/>
          <w:color w:val="auto"/>
        </w:rPr>
        <w:t>Each non-employee director is reimbursed for ordinary, necessary and reasonable out-of-pocket travel expenses to cover in-person attendance at and participation in Board and committee meetings, subject to compliance with our applicable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BOARD MATTERS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2021 Director Compensation Table</w:t>
      </w:r>
    </w:p>
    <w:p>
      <w:pPr>
        <w:spacing w:after="0" w:line="225" w:lineRule="exact"/>
        <w:rPr>
          <w:sz w:val="20"/>
          <w:szCs w:val="20"/>
          <w:color w:val="auto"/>
        </w:rPr>
      </w:pPr>
    </w:p>
    <w:p>
      <w:pPr>
        <w:ind w:left="120"/>
        <w:spacing w:after="0" w:line="339" w:lineRule="auto"/>
        <w:rPr>
          <w:sz w:val="20"/>
          <w:szCs w:val="20"/>
          <w:color w:val="auto"/>
        </w:rPr>
      </w:pPr>
      <w:r>
        <w:rPr>
          <w:rFonts w:ascii="Arial" w:cs="Arial" w:eastAsia="Arial" w:hAnsi="Arial"/>
          <w:sz w:val="16"/>
          <w:szCs w:val="16"/>
          <w:color w:val="auto"/>
        </w:rPr>
        <w:t>The table below sets forth the compensation of our directors in 2021, excluding Tim Chen whose compensation is covered in the Summary Compensation Table. Compensation was calculated on a prorated basis for the period of time in 2021 during which our stock was publicly traded.</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000" w:type="dxa"/>
            <w:vAlign w:val="bottom"/>
            <w:tcBorders>
              <w:top w:val="single" w:sz="8" w:color="60BAFF"/>
              <w:right w:val="single" w:sz="8" w:color="B2B2B2"/>
            </w:tcBorders>
          </w:tcPr>
          <w:p>
            <w:pPr>
              <w:spacing w:after="0"/>
              <w:rPr>
                <w:sz w:val="19"/>
                <w:szCs w:val="19"/>
                <w:color w:val="auto"/>
              </w:rPr>
            </w:pPr>
          </w:p>
        </w:tc>
        <w:tc>
          <w:tcPr>
            <w:tcW w:w="1680" w:type="dxa"/>
            <w:vAlign w:val="bottom"/>
            <w:tcBorders>
              <w:top w:val="single" w:sz="8" w:color="60BAFF"/>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Fees Earned Or</w:t>
            </w:r>
          </w:p>
        </w:tc>
        <w:tc>
          <w:tcPr>
            <w:tcW w:w="1560" w:type="dxa"/>
            <w:vAlign w:val="bottom"/>
            <w:tcBorders>
              <w:top w:val="single" w:sz="8" w:color="60BAFF"/>
              <w:right w:val="single" w:sz="8" w:color="B2B2B2"/>
            </w:tcBorders>
          </w:tcPr>
          <w:p>
            <w:pPr>
              <w:spacing w:after="0"/>
              <w:rPr>
                <w:sz w:val="19"/>
                <w:szCs w:val="19"/>
                <w:color w:val="auto"/>
              </w:rPr>
            </w:pPr>
          </w:p>
        </w:tc>
        <w:tc>
          <w:tcPr>
            <w:tcW w:w="1640" w:type="dxa"/>
            <w:vAlign w:val="bottom"/>
            <w:tcBorders>
              <w:top w:val="single" w:sz="8" w:color="60BAFF"/>
              <w:right w:val="single" w:sz="8" w:color="B2B2B2"/>
            </w:tcBorders>
          </w:tcPr>
          <w:p>
            <w:pPr>
              <w:jc w:val="right"/>
              <w:ind w:right="502"/>
              <w:spacing w:after="0"/>
              <w:rPr>
                <w:sz w:val="20"/>
                <w:szCs w:val="20"/>
                <w:color w:val="auto"/>
              </w:rPr>
            </w:pPr>
            <w:r>
              <w:rPr>
                <w:rFonts w:ascii="Arial" w:cs="Arial" w:eastAsia="Arial" w:hAnsi="Arial"/>
                <w:sz w:val="14"/>
                <w:szCs w:val="14"/>
                <w:b w:val="1"/>
                <w:bCs w:val="1"/>
                <w:color w:val="60BAFF"/>
              </w:rPr>
              <w:t>All Other</w:t>
            </w:r>
          </w:p>
        </w:tc>
        <w:tc>
          <w:tcPr>
            <w:tcW w:w="1140" w:type="dxa"/>
            <w:vAlign w:val="bottom"/>
            <w:tcBorders>
              <w:top w:val="single" w:sz="8" w:color="60BAFF"/>
            </w:tcBorders>
          </w:tcPr>
          <w:p>
            <w:pPr>
              <w:spacing w:after="0"/>
              <w:rPr>
                <w:sz w:val="19"/>
                <w:szCs w:val="19"/>
                <w:color w:val="auto"/>
              </w:rPr>
            </w:pPr>
          </w:p>
        </w:tc>
      </w:tr>
      <w:tr>
        <w:trPr>
          <w:trHeight w:val="162"/>
        </w:trPr>
        <w:tc>
          <w:tcPr>
            <w:tcW w:w="5000" w:type="dxa"/>
            <w:vAlign w:val="bottom"/>
            <w:tcBorders>
              <w:right w:val="single" w:sz="8" w:color="B2B2B2"/>
            </w:tcBorders>
          </w:tcPr>
          <w:p>
            <w:pPr>
              <w:spacing w:after="0"/>
              <w:rPr>
                <w:sz w:val="14"/>
                <w:szCs w:val="14"/>
                <w:color w:val="auto"/>
              </w:rPr>
            </w:pPr>
          </w:p>
        </w:tc>
        <w:tc>
          <w:tcPr>
            <w:tcW w:w="1680" w:type="dxa"/>
            <w:vAlign w:val="bottom"/>
            <w:tcBorders>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Paid In Cash</w:t>
            </w:r>
          </w:p>
        </w:tc>
        <w:tc>
          <w:tcPr>
            <w:tcW w:w="1560" w:type="dxa"/>
            <w:vAlign w:val="bottom"/>
            <w:tcBorders>
              <w:right w:val="single" w:sz="8" w:color="B2B2B2"/>
            </w:tcBorders>
          </w:tcPr>
          <w:p>
            <w:pPr>
              <w:jc w:val="right"/>
              <w:ind w:right="302"/>
              <w:spacing w:after="0"/>
              <w:rPr>
                <w:sz w:val="20"/>
                <w:szCs w:val="20"/>
                <w:color w:val="auto"/>
              </w:rPr>
            </w:pPr>
            <w:r>
              <w:rPr>
                <w:rFonts w:ascii="Arial" w:cs="Arial" w:eastAsia="Arial" w:hAnsi="Arial"/>
                <w:sz w:val="14"/>
                <w:szCs w:val="14"/>
                <w:b w:val="1"/>
                <w:bCs w:val="1"/>
                <w:color w:val="60BAFF"/>
              </w:rPr>
              <w:t>Stock Awards</w:t>
            </w:r>
          </w:p>
        </w:tc>
        <w:tc>
          <w:tcPr>
            <w:tcW w:w="1640" w:type="dxa"/>
            <w:vAlign w:val="bottom"/>
            <w:tcBorders>
              <w:right w:val="single" w:sz="8" w:color="B2B2B2"/>
            </w:tcBorders>
          </w:tcPr>
          <w:p>
            <w:pPr>
              <w:jc w:val="right"/>
              <w:ind w:right="302"/>
              <w:spacing w:after="0"/>
              <w:rPr>
                <w:sz w:val="20"/>
                <w:szCs w:val="20"/>
                <w:color w:val="auto"/>
              </w:rPr>
            </w:pPr>
            <w:r>
              <w:rPr>
                <w:rFonts w:ascii="Arial" w:cs="Arial" w:eastAsia="Arial" w:hAnsi="Arial"/>
                <w:sz w:val="14"/>
                <w:szCs w:val="14"/>
                <w:b w:val="1"/>
                <w:bCs w:val="1"/>
                <w:color w:val="60BAFF"/>
              </w:rPr>
              <w:t>Compensation</w:t>
            </w:r>
          </w:p>
        </w:tc>
        <w:tc>
          <w:tcPr>
            <w:tcW w:w="1140" w:type="dxa"/>
            <w:vAlign w:val="bottom"/>
          </w:tcPr>
          <w:p>
            <w:pPr>
              <w:jc w:val="right"/>
              <w:ind w:right="382"/>
              <w:spacing w:after="0"/>
              <w:rPr>
                <w:sz w:val="20"/>
                <w:szCs w:val="20"/>
                <w:color w:val="auto"/>
              </w:rPr>
            </w:pPr>
            <w:r>
              <w:rPr>
                <w:rFonts w:ascii="Arial" w:cs="Arial" w:eastAsia="Arial" w:hAnsi="Arial"/>
                <w:sz w:val="14"/>
                <w:szCs w:val="14"/>
                <w:b w:val="1"/>
                <w:bCs w:val="1"/>
                <w:color w:val="60BAFF"/>
              </w:rPr>
              <w:t>Total</w:t>
            </w:r>
          </w:p>
        </w:tc>
      </w:tr>
      <w:tr>
        <w:trPr>
          <w:trHeight w:val="196"/>
        </w:trPr>
        <w:tc>
          <w:tcPr>
            <w:tcW w:w="500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w:t>
            </w:r>
          </w:p>
        </w:tc>
        <w:tc>
          <w:tcPr>
            <w:tcW w:w="1680" w:type="dxa"/>
            <w:vAlign w:val="bottom"/>
            <w:tcBorders>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($)(1)</w:t>
            </w:r>
          </w:p>
        </w:tc>
        <w:tc>
          <w:tcPr>
            <w:tcW w:w="1560" w:type="dxa"/>
            <w:vAlign w:val="bottom"/>
            <w:tcBorders>
              <w:right w:val="single" w:sz="8" w:color="B2B2B2"/>
            </w:tcBorders>
          </w:tcPr>
          <w:p>
            <w:pPr>
              <w:jc w:val="right"/>
              <w:ind w:right="602"/>
              <w:spacing w:after="0"/>
              <w:rPr>
                <w:sz w:val="20"/>
                <w:szCs w:val="20"/>
                <w:color w:val="auto"/>
              </w:rPr>
            </w:pPr>
            <w:r>
              <w:rPr>
                <w:rFonts w:ascii="Arial" w:cs="Arial" w:eastAsia="Arial" w:hAnsi="Arial"/>
                <w:sz w:val="14"/>
                <w:szCs w:val="14"/>
                <w:b w:val="1"/>
                <w:bCs w:val="1"/>
                <w:color w:val="60BAFF"/>
              </w:rPr>
              <w:t>($)(2)</w:t>
            </w:r>
          </w:p>
        </w:tc>
        <w:tc>
          <w:tcPr>
            <w:tcW w:w="1640" w:type="dxa"/>
            <w:vAlign w:val="bottom"/>
            <w:tcBorders>
              <w:right w:val="single" w:sz="8" w:color="B2B2B2"/>
            </w:tcBorders>
          </w:tcPr>
          <w:p>
            <w:pPr>
              <w:jc w:val="right"/>
              <w:ind w:right="722"/>
              <w:spacing w:after="0"/>
              <w:rPr>
                <w:sz w:val="20"/>
                <w:szCs w:val="20"/>
                <w:color w:val="auto"/>
              </w:rPr>
            </w:pPr>
            <w:r>
              <w:rPr>
                <w:rFonts w:ascii="Arial" w:cs="Arial" w:eastAsia="Arial" w:hAnsi="Arial"/>
                <w:sz w:val="14"/>
                <w:szCs w:val="14"/>
                <w:b w:val="1"/>
                <w:bCs w:val="1"/>
                <w:color w:val="60BAFF"/>
              </w:rPr>
              <w:t>($)</w:t>
            </w:r>
          </w:p>
        </w:tc>
        <w:tc>
          <w:tcPr>
            <w:tcW w:w="1140" w:type="dxa"/>
            <w:vAlign w:val="bottom"/>
          </w:tcPr>
          <w:p>
            <w:pPr>
              <w:jc w:val="right"/>
              <w:ind w:right="462"/>
              <w:spacing w:after="0"/>
              <w:rPr>
                <w:sz w:val="20"/>
                <w:szCs w:val="20"/>
                <w:color w:val="auto"/>
              </w:rPr>
            </w:pPr>
            <w:r>
              <w:rPr>
                <w:rFonts w:ascii="Arial" w:cs="Arial" w:eastAsia="Arial" w:hAnsi="Arial"/>
                <w:sz w:val="14"/>
                <w:szCs w:val="14"/>
                <w:b w:val="1"/>
                <w:bCs w:val="1"/>
                <w:color w:val="60BAFF"/>
              </w:rPr>
              <w:t>($)</w:t>
            </w:r>
          </w:p>
        </w:tc>
      </w:tr>
      <w:tr>
        <w:trPr>
          <w:trHeight w:val="43"/>
        </w:trPr>
        <w:tc>
          <w:tcPr>
            <w:tcW w:w="5000" w:type="dxa"/>
            <w:vAlign w:val="bottom"/>
            <w:tcBorders>
              <w:bottom w:val="single" w:sz="8" w:color="60BAFF"/>
              <w:right w:val="single" w:sz="8" w:color="B2B2B2"/>
            </w:tcBorders>
          </w:tcPr>
          <w:p>
            <w:pPr>
              <w:spacing w:after="0"/>
              <w:rPr>
                <w:sz w:val="3"/>
                <w:szCs w:val="3"/>
                <w:color w:val="auto"/>
              </w:rPr>
            </w:pPr>
          </w:p>
        </w:tc>
        <w:tc>
          <w:tcPr>
            <w:tcW w:w="1680" w:type="dxa"/>
            <w:vAlign w:val="bottom"/>
            <w:tcBorders>
              <w:bottom w:val="single" w:sz="8" w:color="60BAFF"/>
              <w:right w:val="single" w:sz="8" w:color="B2B2B2"/>
            </w:tcBorders>
          </w:tcPr>
          <w:p>
            <w:pPr>
              <w:spacing w:after="0"/>
              <w:rPr>
                <w:sz w:val="3"/>
                <w:szCs w:val="3"/>
                <w:color w:val="auto"/>
              </w:rPr>
            </w:pPr>
          </w:p>
        </w:tc>
        <w:tc>
          <w:tcPr>
            <w:tcW w:w="1560" w:type="dxa"/>
            <w:vAlign w:val="bottom"/>
            <w:tcBorders>
              <w:bottom w:val="single" w:sz="8" w:color="60BAFF"/>
              <w:right w:val="single" w:sz="8" w:color="B2B2B2"/>
            </w:tcBorders>
          </w:tcPr>
          <w:p>
            <w:pPr>
              <w:spacing w:after="0"/>
              <w:rPr>
                <w:sz w:val="3"/>
                <w:szCs w:val="3"/>
                <w:color w:val="auto"/>
              </w:rPr>
            </w:pPr>
          </w:p>
        </w:tc>
        <w:tc>
          <w:tcPr>
            <w:tcW w:w="1640" w:type="dxa"/>
            <w:vAlign w:val="bottom"/>
            <w:tcBorders>
              <w:bottom w:val="single" w:sz="8" w:color="60BAFF"/>
              <w:right w:val="single" w:sz="8" w:color="B2B2B2"/>
            </w:tcBorders>
          </w:tcPr>
          <w:p>
            <w:pPr>
              <w:spacing w:after="0"/>
              <w:rPr>
                <w:sz w:val="3"/>
                <w:szCs w:val="3"/>
                <w:color w:val="auto"/>
              </w:rPr>
            </w:pPr>
          </w:p>
        </w:tc>
        <w:tc>
          <w:tcPr>
            <w:tcW w:w="1140" w:type="dxa"/>
            <w:vAlign w:val="bottom"/>
            <w:tcBorders>
              <w:bottom w:val="single" w:sz="8" w:color="60BAFF"/>
            </w:tcBorders>
          </w:tcPr>
          <w:p>
            <w:pPr>
              <w:spacing w:after="0"/>
              <w:rPr>
                <w:sz w:val="3"/>
                <w:szCs w:val="3"/>
                <w:color w:val="auto"/>
              </w:rPr>
            </w:pPr>
          </w:p>
        </w:tc>
      </w:tr>
      <w:tr>
        <w:trPr>
          <w:trHeight w:val="256"/>
        </w:trPr>
        <w:tc>
          <w:tcPr>
            <w:tcW w:w="50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Jennifer E. Ceran</w:t>
            </w:r>
          </w:p>
        </w:tc>
        <w:tc>
          <w:tcPr>
            <w:tcW w:w="1680" w:type="dxa"/>
            <w:vAlign w:val="bottom"/>
            <w:tcBorders>
              <w:right w:val="single" w:sz="8" w:color="B2B2B2"/>
            </w:tcBorders>
          </w:tcPr>
          <w:p>
            <w:pPr>
              <w:jc w:val="right"/>
              <w:ind w:right="282"/>
              <w:spacing w:after="0"/>
              <w:rPr>
                <w:sz w:val="20"/>
                <w:szCs w:val="20"/>
                <w:color w:val="auto"/>
              </w:rPr>
            </w:pPr>
            <w:r>
              <w:rPr>
                <w:rFonts w:ascii="Arial" w:cs="Arial" w:eastAsia="Arial" w:hAnsi="Arial"/>
                <w:sz w:val="16"/>
                <w:szCs w:val="16"/>
                <w:color w:val="auto"/>
              </w:rPr>
              <w:t>11,033</w:t>
            </w:r>
          </w:p>
        </w:tc>
        <w:tc>
          <w:tcPr>
            <w:tcW w:w="156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64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11,033</w:t>
            </w:r>
          </w:p>
        </w:tc>
      </w:tr>
      <w:tr>
        <w:trPr>
          <w:trHeight w:val="48"/>
        </w:trPr>
        <w:tc>
          <w:tcPr>
            <w:tcW w:w="5000" w:type="dxa"/>
            <w:vAlign w:val="bottom"/>
            <w:tcBorders>
              <w:right w:val="single" w:sz="8" w:color="B2B2B2"/>
            </w:tcBorders>
          </w:tcPr>
          <w:p>
            <w:pPr>
              <w:spacing w:after="0"/>
              <w:rPr>
                <w:sz w:val="4"/>
                <w:szCs w:val="4"/>
                <w:color w:val="auto"/>
              </w:rPr>
            </w:pPr>
          </w:p>
        </w:tc>
        <w:tc>
          <w:tcPr>
            <w:tcW w:w="1680" w:type="dxa"/>
            <w:vAlign w:val="bottom"/>
            <w:tcBorders>
              <w:right w:val="single" w:sz="8" w:color="B2B2B2"/>
            </w:tcBorders>
          </w:tcPr>
          <w:p>
            <w:pPr>
              <w:spacing w:after="0"/>
              <w:rPr>
                <w:sz w:val="4"/>
                <w:szCs w:val="4"/>
                <w:color w:val="auto"/>
              </w:rPr>
            </w:pPr>
          </w:p>
        </w:tc>
        <w:tc>
          <w:tcPr>
            <w:tcW w:w="1560" w:type="dxa"/>
            <w:vAlign w:val="bottom"/>
            <w:tcBorders>
              <w:right w:val="single" w:sz="8" w:color="B2B2B2"/>
            </w:tcBorders>
          </w:tcPr>
          <w:p>
            <w:pPr>
              <w:spacing w:after="0"/>
              <w:rPr>
                <w:sz w:val="4"/>
                <w:szCs w:val="4"/>
                <w:color w:val="auto"/>
              </w:rPr>
            </w:pPr>
          </w:p>
        </w:tc>
        <w:tc>
          <w:tcPr>
            <w:tcW w:w="1640" w:type="dxa"/>
            <w:vAlign w:val="bottom"/>
            <w:tcBorders>
              <w:right w:val="single" w:sz="8" w:color="B2B2B2"/>
            </w:tcBorders>
          </w:tcPr>
          <w:p>
            <w:pPr>
              <w:spacing w:after="0"/>
              <w:rPr>
                <w:sz w:val="4"/>
                <w:szCs w:val="4"/>
                <w:color w:val="auto"/>
              </w:rPr>
            </w:pPr>
          </w:p>
        </w:tc>
        <w:tc>
          <w:tcPr>
            <w:tcW w:w="1140" w:type="dxa"/>
            <w:vAlign w:val="bottom"/>
          </w:tcPr>
          <w:p>
            <w:pPr>
              <w:spacing w:after="0"/>
              <w:rPr>
                <w:sz w:val="4"/>
                <w:szCs w:val="4"/>
                <w:color w:val="auto"/>
              </w:rPr>
            </w:pPr>
          </w:p>
        </w:tc>
      </w:tr>
      <w:tr>
        <w:trPr>
          <w:trHeight w:val="304"/>
        </w:trPr>
        <w:tc>
          <w:tcPr>
            <w:tcW w:w="500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Lynne M. Laube</w:t>
            </w:r>
          </w:p>
        </w:tc>
        <w:tc>
          <w:tcPr>
            <w:tcW w:w="1680" w:type="dxa"/>
            <w:vAlign w:val="bottom"/>
            <w:tcBorders>
              <w:bottom w:val="single" w:sz="8" w:color="F2FFFF"/>
              <w:right w:val="single" w:sz="8" w:color="B2B2B2"/>
            </w:tcBorders>
            <w:shd w:val="clear" w:color="auto" w:fill="F2FFFF"/>
          </w:tcPr>
          <w:p>
            <w:pPr>
              <w:jc w:val="right"/>
              <w:ind w:right="282"/>
              <w:spacing w:after="0"/>
              <w:rPr>
                <w:sz w:val="20"/>
                <w:szCs w:val="20"/>
                <w:color w:val="auto"/>
              </w:rPr>
            </w:pPr>
            <w:r>
              <w:rPr>
                <w:rFonts w:ascii="Arial" w:cs="Arial" w:eastAsia="Arial" w:hAnsi="Arial"/>
                <w:sz w:val="16"/>
                <w:szCs w:val="16"/>
                <w:color w:val="auto"/>
              </w:rPr>
              <w:t>11,348</w:t>
            </w:r>
          </w:p>
        </w:tc>
        <w:tc>
          <w:tcPr>
            <w:tcW w:w="1560" w:type="dxa"/>
            <w:vAlign w:val="bottom"/>
            <w:tcBorders>
              <w:bottom w:val="single" w:sz="8" w:color="F2FFFF"/>
              <w:right w:val="single" w:sz="8" w:color="B2B2B2"/>
            </w:tcBorders>
            <w:shd w:val="clear" w:color="auto" w:fill="F2FFFF"/>
          </w:tcPr>
          <w:p>
            <w:pPr>
              <w:jc w:val="right"/>
              <w:ind w:right="302"/>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F2FFFF"/>
              <w:right w:val="single" w:sz="8" w:color="B2B2B2"/>
            </w:tcBorders>
            <w:shd w:val="clear" w:color="auto" w:fill="F2FFFF"/>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2FFFF"/>
            </w:tcBorders>
            <w:shd w:val="clear" w:color="auto" w:fill="F2FFFF"/>
          </w:tcPr>
          <w:p>
            <w:pPr>
              <w:jc w:val="right"/>
              <w:ind w:right="282"/>
              <w:spacing w:after="0"/>
              <w:rPr>
                <w:sz w:val="20"/>
                <w:szCs w:val="20"/>
                <w:color w:val="auto"/>
              </w:rPr>
            </w:pPr>
            <w:r>
              <w:rPr>
                <w:rFonts w:ascii="Arial" w:cs="Arial" w:eastAsia="Arial" w:hAnsi="Arial"/>
                <w:sz w:val="16"/>
                <w:szCs w:val="16"/>
                <w:color w:val="auto"/>
              </w:rPr>
              <w:t>11,348</w:t>
            </w:r>
          </w:p>
        </w:tc>
      </w:tr>
      <w:tr>
        <w:trPr>
          <w:trHeight w:val="276"/>
        </w:trPr>
        <w:tc>
          <w:tcPr>
            <w:tcW w:w="50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Thomas Loverro</w:t>
            </w:r>
          </w:p>
        </w:tc>
        <w:tc>
          <w:tcPr>
            <w:tcW w:w="1680" w:type="dxa"/>
            <w:vAlign w:val="bottom"/>
            <w:tcBorders>
              <w:right w:val="single" w:sz="8" w:color="B2B2B2"/>
            </w:tcBorders>
          </w:tcPr>
          <w:p>
            <w:pPr>
              <w:jc w:val="right"/>
              <w:ind w:right="282"/>
              <w:spacing w:after="0"/>
              <w:rPr>
                <w:sz w:val="20"/>
                <w:szCs w:val="20"/>
                <w:color w:val="auto"/>
              </w:rPr>
            </w:pPr>
            <w:r>
              <w:rPr>
                <w:rFonts w:ascii="Arial" w:cs="Arial" w:eastAsia="Arial" w:hAnsi="Arial"/>
                <w:sz w:val="16"/>
                <w:szCs w:val="16"/>
                <w:color w:val="auto"/>
              </w:rPr>
              <w:t>9,457</w:t>
            </w:r>
          </w:p>
        </w:tc>
        <w:tc>
          <w:tcPr>
            <w:tcW w:w="156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64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9,457</w:t>
            </w:r>
          </w:p>
        </w:tc>
      </w:tr>
      <w:tr>
        <w:trPr>
          <w:trHeight w:val="48"/>
        </w:trPr>
        <w:tc>
          <w:tcPr>
            <w:tcW w:w="5000" w:type="dxa"/>
            <w:vAlign w:val="bottom"/>
            <w:tcBorders>
              <w:right w:val="single" w:sz="8" w:color="B2B2B2"/>
            </w:tcBorders>
          </w:tcPr>
          <w:p>
            <w:pPr>
              <w:spacing w:after="0"/>
              <w:rPr>
                <w:sz w:val="4"/>
                <w:szCs w:val="4"/>
                <w:color w:val="auto"/>
              </w:rPr>
            </w:pPr>
          </w:p>
        </w:tc>
        <w:tc>
          <w:tcPr>
            <w:tcW w:w="1680" w:type="dxa"/>
            <w:vAlign w:val="bottom"/>
            <w:tcBorders>
              <w:right w:val="single" w:sz="8" w:color="B2B2B2"/>
            </w:tcBorders>
          </w:tcPr>
          <w:p>
            <w:pPr>
              <w:spacing w:after="0"/>
              <w:rPr>
                <w:sz w:val="4"/>
                <w:szCs w:val="4"/>
                <w:color w:val="auto"/>
              </w:rPr>
            </w:pPr>
          </w:p>
        </w:tc>
        <w:tc>
          <w:tcPr>
            <w:tcW w:w="1560" w:type="dxa"/>
            <w:vAlign w:val="bottom"/>
            <w:tcBorders>
              <w:right w:val="single" w:sz="8" w:color="B2B2B2"/>
            </w:tcBorders>
          </w:tcPr>
          <w:p>
            <w:pPr>
              <w:spacing w:after="0"/>
              <w:rPr>
                <w:sz w:val="4"/>
                <w:szCs w:val="4"/>
                <w:color w:val="auto"/>
              </w:rPr>
            </w:pPr>
          </w:p>
        </w:tc>
        <w:tc>
          <w:tcPr>
            <w:tcW w:w="1640" w:type="dxa"/>
            <w:vAlign w:val="bottom"/>
            <w:tcBorders>
              <w:right w:val="single" w:sz="8" w:color="B2B2B2"/>
            </w:tcBorders>
          </w:tcPr>
          <w:p>
            <w:pPr>
              <w:spacing w:after="0"/>
              <w:rPr>
                <w:sz w:val="4"/>
                <w:szCs w:val="4"/>
                <w:color w:val="auto"/>
              </w:rPr>
            </w:pPr>
          </w:p>
        </w:tc>
        <w:tc>
          <w:tcPr>
            <w:tcW w:w="1140" w:type="dxa"/>
            <w:vAlign w:val="bottom"/>
          </w:tcPr>
          <w:p>
            <w:pPr>
              <w:spacing w:after="0"/>
              <w:rPr>
                <w:sz w:val="4"/>
                <w:szCs w:val="4"/>
                <w:color w:val="auto"/>
              </w:rPr>
            </w:pPr>
          </w:p>
        </w:tc>
      </w:tr>
      <w:tr>
        <w:trPr>
          <w:trHeight w:val="304"/>
        </w:trPr>
        <w:tc>
          <w:tcPr>
            <w:tcW w:w="500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James D. Robinson III</w:t>
            </w:r>
          </w:p>
        </w:tc>
        <w:tc>
          <w:tcPr>
            <w:tcW w:w="1680" w:type="dxa"/>
            <w:vAlign w:val="bottom"/>
            <w:tcBorders>
              <w:bottom w:val="single" w:sz="8" w:color="F2FFFF"/>
              <w:right w:val="single" w:sz="8" w:color="B2B2B2"/>
            </w:tcBorders>
            <w:shd w:val="clear" w:color="auto" w:fill="F2FFFF"/>
          </w:tcPr>
          <w:p>
            <w:pPr>
              <w:jc w:val="right"/>
              <w:ind w:right="282"/>
              <w:spacing w:after="0"/>
              <w:rPr>
                <w:sz w:val="20"/>
                <w:szCs w:val="20"/>
                <w:color w:val="auto"/>
              </w:rPr>
            </w:pPr>
            <w:r>
              <w:rPr>
                <w:rFonts w:ascii="Arial" w:cs="Arial" w:eastAsia="Arial" w:hAnsi="Arial"/>
                <w:sz w:val="16"/>
                <w:szCs w:val="16"/>
                <w:color w:val="auto"/>
              </w:rPr>
              <w:t>8,826</w:t>
            </w:r>
          </w:p>
        </w:tc>
        <w:tc>
          <w:tcPr>
            <w:tcW w:w="1560" w:type="dxa"/>
            <w:vAlign w:val="bottom"/>
            <w:tcBorders>
              <w:bottom w:val="single" w:sz="8" w:color="F2FFFF"/>
              <w:right w:val="single" w:sz="8" w:color="B2B2B2"/>
            </w:tcBorders>
            <w:shd w:val="clear" w:color="auto" w:fill="F2FFFF"/>
          </w:tcPr>
          <w:p>
            <w:pPr>
              <w:jc w:val="right"/>
              <w:ind w:right="302"/>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F2FFFF"/>
              <w:right w:val="single" w:sz="8" w:color="B2B2B2"/>
            </w:tcBorders>
            <w:shd w:val="clear" w:color="auto" w:fill="F2FFFF"/>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2FFFF"/>
            </w:tcBorders>
            <w:shd w:val="clear" w:color="auto" w:fill="F2FFFF"/>
          </w:tcPr>
          <w:p>
            <w:pPr>
              <w:jc w:val="right"/>
              <w:ind w:right="282"/>
              <w:spacing w:after="0"/>
              <w:rPr>
                <w:sz w:val="20"/>
                <w:szCs w:val="20"/>
                <w:color w:val="auto"/>
              </w:rPr>
            </w:pPr>
            <w:r>
              <w:rPr>
                <w:rFonts w:ascii="Arial" w:cs="Arial" w:eastAsia="Arial" w:hAnsi="Arial"/>
                <w:sz w:val="16"/>
                <w:szCs w:val="16"/>
                <w:color w:val="auto"/>
              </w:rPr>
              <w:t>8,826</w:t>
            </w:r>
          </w:p>
        </w:tc>
      </w:tr>
      <w:tr>
        <w:trPr>
          <w:trHeight w:val="276"/>
        </w:trPr>
        <w:tc>
          <w:tcPr>
            <w:tcW w:w="500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Simon Williams</w:t>
            </w:r>
          </w:p>
        </w:tc>
        <w:tc>
          <w:tcPr>
            <w:tcW w:w="1680" w:type="dxa"/>
            <w:vAlign w:val="bottom"/>
            <w:tcBorders>
              <w:right w:val="single" w:sz="8" w:color="B2B2B2"/>
            </w:tcBorders>
          </w:tcPr>
          <w:p>
            <w:pPr>
              <w:jc w:val="right"/>
              <w:ind w:right="282"/>
              <w:spacing w:after="0"/>
              <w:rPr>
                <w:sz w:val="20"/>
                <w:szCs w:val="20"/>
                <w:color w:val="auto"/>
              </w:rPr>
            </w:pPr>
            <w:r>
              <w:rPr>
                <w:rFonts w:ascii="Arial" w:cs="Arial" w:eastAsia="Arial" w:hAnsi="Arial"/>
                <w:sz w:val="16"/>
                <w:szCs w:val="16"/>
                <w:color w:val="auto"/>
              </w:rPr>
              <w:t>—</w:t>
            </w:r>
          </w:p>
        </w:tc>
        <w:tc>
          <w:tcPr>
            <w:tcW w:w="156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640" w:type="dxa"/>
            <w:vAlign w:val="bottom"/>
            <w:tcBorders>
              <w:right w:val="single" w:sz="8" w:color="B2B2B2"/>
            </w:tcBorders>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w:t>
            </w:r>
          </w:p>
        </w:tc>
      </w:tr>
      <w:tr>
        <w:trPr>
          <w:trHeight w:val="48"/>
        </w:trPr>
        <w:tc>
          <w:tcPr>
            <w:tcW w:w="5000" w:type="dxa"/>
            <w:vAlign w:val="bottom"/>
            <w:tcBorders>
              <w:bottom w:val="single" w:sz="8" w:color="B2B2B2"/>
              <w:right w:val="single" w:sz="8" w:color="B2B2B2"/>
            </w:tcBorders>
          </w:tcPr>
          <w:p>
            <w:pPr>
              <w:spacing w:after="0"/>
              <w:rPr>
                <w:sz w:val="4"/>
                <w:szCs w:val="4"/>
                <w:color w:val="auto"/>
              </w:rPr>
            </w:pPr>
          </w:p>
        </w:tc>
        <w:tc>
          <w:tcPr>
            <w:tcW w:w="1680" w:type="dxa"/>
            <w:vAlign w:val="bottom"/>
            <w:tcBorders>
              <w:bottom w:val="single" w:sz="8" w:color="B2B2B2"/>
              <w:right w:val="single" w:sz="8" w:color="B2B2B2"/>
            </w:tcBorders>
          </w:tcPr>
          <w:p>
            <w:pPr>
              <w:spacing w:after="0"/>
              <w:rPr>
                <w:sz w:val="4"/>
                <w:szCs w:val="4"/>
                <w:color w:val="auto"/>
              </w:rPr>
            </w:pPr>
          </w:p>
        </w:tc>
        <w:tc>
          <w:tcPr>
            <w:tcW w:w="1560" w:type="dxa"/>
            <w:vAlign w:val="bottom"/>
            <w:tcBorders>
              <w:bottom w:val="single" w:sz="8" w:color="B2B2B2"/>
              <w:right w:val="single" w:sz="8" w:color="B2B2B2"/>
            </w:tcBorders>
          </w:tcPr>
          <w:p>
            <w:pPr>
              <w:spacing w:after="0"/>
              <w:rPr>
                <w:sz w:val="4"/>
                <w:szCs w:val="4"/>
                <w:color w:val="auto"/>
              </w:rPr>
            </w:pPr>
          </w:p>
        </w:tc>
        <w:tc>
          <w:tcPr>
            <w:tcW w:w="1640" w:type="dxa"/>
            <w:vAlign w:val="bottom"/>
            <w:tcBorders>
              <w:bottom w:val="single" w:sz="8" w:color="B2B2B2"/>
              <w:right w:val="single" w:sz="8" w:color="B2B2B2"/>
            </w:tcBorders>
          </w:tcPr>
          <w:p>
            <w:pPr>
              <w:spacing w:after="0"/>
              <w:rPr>
                <w:sz w:val="4"/>
                <w:szCs w:val="4"/>
                <w:color w:val="auto"/>
              </w:rPr>
            </w:pPr>
          </w:p>
        </w:tc>
        <w:tc>
          <w:tcPr>
            <w:tcW w:w="1140" w:type="dxa"/>
            <w:vAlign w:val="bottom"/>
            <w:tcBorders>
              <w:bottom w:val="single" w:sz="8" w:color="B2B2B2"/>
            </w:tcBorders>
          </w:tcPr>
          <w:p>
            <w:pPr>
              <w:spacing w:after="0"/>
              <w:rPr>
                <w:sz w:val="4"/>
                <w:szCs w:val="4"/>
                <w:color w:val="auto"/>
              </w:rPr>
            </w:pPr>
          </w:p>
        </w:tc>
      </w:tr>
    </w:tbl>
    <w:p>
      <w:pPr>
        <w:ind w:left="340" w:hanging="224"/>
        <w:spacing w:after="0"/>
        <w:tabs>
          <w:tab w:leader="none" w:pos="34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Cash retainers paid under the annual compensation policy for non-employee directors were prorated for the portion of 2021 following our IPO.</w:t>
      </w:r>
    </w:p>
    <w:p>
      <w:pPr>
        <w:spacing w:after="0" w:line="19" w:lineRule="exact"/>
        <w:rPr>
          <w:rFonts w:ascii="Arial" w:cs="Arial" w:eastAsia="Arial" w:hAnsi="Arial"/>
          <w:sz w:val="14"/>
          <w:szCs w:val="14"/>
          <w:i w:val="1"/>
          <w:iCs w:val="1"/>
          <w:color w:val="auto"/>
        </w:rPr>
      </w:pPr>
    </w:p>
    <w:p>
      <w:pPr>
        <w:ind w:left="120" w:right="380" w:hanging="4"/>
        <w:spacing w:after="0" w:line="284" w:lineRule="auto"/>
        <w:tabs>
          <w:tab w:leader="none" w:pos="336"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Our non-employee directors did not receive any equity grants in 2021. However, the table below shows the aggregate numbers of shares subject to outstanding and unexercised option awards and outstanding stock awards held by each non-employee director as of December 31, 2021:</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7460" w:type="dxa"/>
            <w:vAlign w:val="bottom"/>
            <w:tcBorders>
              <w:top w:val="single" w:sz="8" w:color="60BAFF"/>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w:t>
            </w:r>
          </w:p>
        </w:tc>
        <w:tc>
          <w:tcPr>
            <w:tcW w:w="1820" w:type="dxa"/>
            <w:vAlign w:val="bottom"/>
            <w:tcBorders>
              <w:top w:val="single" w:sz="8" w:color="60BAFF"/>
              <w:right w:val="single" w:sz="8" w:color="B2B2B2"/>
            </w:tcBorders>
          </w:tcPr>
          <w:p>
            <w:pPr>
              <w:jc w:val="right"/>
              <w:ind w:right="341"/>
              <w:spacing w:after="0"/>
              <w:rPr>
                <w:sz w:val="20"/>
                <w:szCs w:val="20"/>
                <w:color w:val="auto"/>
              </w:rPr>
            </w:pPr>
            <w:r>
              <w:rPr>
                <w:rFonts w:ascii="Arial" w:cs="Arial" w:eastAsia="Arial" w:hAnsi="Arial"/>
                <w:sz w:val="14"/>
                <w:szCs w:val="14"/>
                <w:b w:val="1"/>
                <w:bCs w:val="1"/>
                <w:color w:val="60BAFF"/>
              </w:rPr>
              <w:t>Option Awards</w:t>
            </w:r>
          </w:p>
        </w:tc>
        <w:tc>
          <w:tcPr>
            <w:tcW w:w="1740" w:type="dxa"/>
            <w:vAlign w:val="bottom"/>
            <w:tcBorders>
              <w:top w:val="single" w:sz="8" w:color="60BAFF"/>
            </w:tcBorders>
          </w:tcPr>
          <w:p>
            <w:pPr>
              <w:jc w:val="right"/>
              <w:ind w:right="341"/>
              <w:spacing w:after="0"/>
              <w:rPr>
                <w:sz w:val="20"/>
                <w:szCs w:val="20"/>
                <w:color w:val="auto"/>
              </w:rPr>
            </w:pPr>
            <w:r>
              <w:rPr>
                <w:rFonts w:ascii="Arial" w:cs="Arial" w:eastAsia="Arial" w:hAnsi="Arial"/>
                <w:sz w:val="14"/>
                <w:szCs w:val="14"/>
                <w:b w:val="1"/>
                <w:bCs w:val="1"/>
                <w:color w:val="60BAFF"/>
              </w:rPr>
              <w:t>Stock Awards</w:t>
            </w:r>
          </w:p>
        </w:tc>
      </w:tr>
      <w:tr>
        <w:trPr>
          <w:trHeight w:val="43"/>
        </w:trPr>
        <w:tc>
          <w:tcPr>
            <w:tcW w:w="7460" w:type="dxa"/>
            <w:vAlign w:val="bottom"/>
            <w:tcBorders>
              <w:bottom w:val="single" w:sz="8" w:color="60BAFF"/>
              <w:right w:val="single" w:sz="8" w:color="B2B2B2"/>
            </w:tcBorders>
          </w:tcPr>
          <w:p>
            <w:pPr>
              <w:spacing w:after="0"/>
              <w:rPr>
                <w:sz w:val="3"/>
                <w:szCs w:val="3"/>
                <w:color w:val="auto"/>
              </w:rPr>
            </w:pPr>
          </w:p>
        </w:tc>
        <w:tc>
          <w:tcPr>
            <w:tcW w:w="1820" w:type="dxa"/>
            <w:vAlign w:val="bottom"/>
            <w:tcBorders>
              <w:bottom w:val="single" w:sz="8" w:color="60BAFF"/>
              <w:right w:val="single" w:sz="8" w:color="B2B2B2"/>
            </w:tcBorders>
          </w:tcPr>
          <w:p>
            <w:pPr>
              <w:spacing w:after="0"/>
              <w:rPr>
                <w:sz w:val="3"/>
                <w:szCs w:val="3"/>
                <w:color w:val="auto"/>
              </w:rPr>
            </w:pPr>
          </w:p>
        </w:tc>
        <w:tc>
          <w:tcPr>
            <w:tcW w:w="1740" w:type="dxa"/>
            <w:vAlign w:val="bottom"/>
            <w:tcBorders>
              <w:bottom w:val="single" w:sz="8" w:color="60BAFF"/>
            </w:tcBorders>
          </w:tcPr>
          <w:p>
            <w:pPr>
              <w:spacing w:after="0"/>
              <w:rPr>
                <w:sz w:val="3"/>
                <w:szCs w:val="3"/>
                <w:color w:val="auto"/>
              </w:rPr>
            </w:pPr>
          </w:p>
        </w:tc>
      </w:tr>
      <w:tr>
        <w:trPr>
          <w:trHeight w:val="256"/>
        </w:trPr>
        <w:tc>
          <w:tcPr>
            <w:tcW w:w="74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Jennifer E. Ceran</w:t>
            </w:r>
          </w:p>
        </w:tc>
        <w:tc>
          <w:tcPr>
            <w:tcW w:w="1820" w:type="dxa"/>
            <w:vAlign w:val="bottom"/>
            <w:tcBorders>
              <w:right w:val="single" w:sz="8" w:color="B2B2B2"/>
            </w:tcBorders>
          </w:tcPr>
          <w:p>
            <w:pPr>
              <w:jc w:val="right"/>
              <w:ind w:right="341"/>
              <w:spacing w:after="0"/>
              <w:rPr>
                <w:sz w:val="20"/>
                <w:szCs w:val="20"/>
                <w:color w:val="auto"/>
              </w:rPr>
            </w:pPr>
            <w:r>
              <w:rPr>
                <w:rFonts w:ascii="Arial" w:cs="Arial" w:eastAsia="Arial" w:hAnsi="Arial"/>
                <w:sz w:val="16"/>
                <w:szCs w:val="16"/>
                <w:color w:val="auto"/>
              </w:rPr>
              <w:t>120,000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48"/>
        </w:trPr>
        <w:tc>
          <w:tcPr>
            <w:tcW w:w="7460" w:type="dxa"/>
            <w:vAlign w:val="bottom"/>
            <w:tcBorders>
              <w:right w:val="single" w:sz="8" w:color="B2B2B2"/>
            </w:tcBorders>
          </w:tcPr>
          <w:p>
            <w:pPr>
              <w:spacing w:after="0"/>
              <w:rPr>
                <w:sz w:val="4"/>
                <w:szCs w:val="4"/>
                <w:color w:val="auto"/>
              </w:rPr>
            </w:pPr>
          </w:p>
        </w:tc>
        <w:tc>
          <w:tcPr>
            <w:tcW w:w="1820" w:type="dxa"/>
            <w:vAlign w:val="bottom"/>
            <w:tcBorders>
              <w:right w:val="single" w:sz="8" w:color="B2B2B2"/>
            </w:tcBorders>
          </w:tcPr>
          <w:p>
            <w:pPr>
              <w:spacing w:after="0"/>
              <w:rPr>
                <w:sz w:val="4"/>
                <w:szCs w:val="4"/>
                <w:color w:val="auto"/>
              </w:rPr>
            </w:pPr>
          </w:p>
        </w:tc>
        <w:tc>
          <w:tcPr>
            <w:tcW w:w="1740" w:type="dxa"/>
            <w:vAlign w:val="bottom"/>
          </w:tcPr>
          <w:p>
            <w:pPr>
              <w:spacing w:after="0"/>
              <w:rPr>
                <w:sz w:val="4"/>
                <w:szCs w:val="4"/>
                <w:color w:val="auto"/>
              </w:rPr>
            </w:pPr>
          </w:p>
        </w:tc>
      </w:tr>
      <w:tr>
        <w:trPr>
          <w:trHeight w:val="304"/>
        </w:trPr>
        <w:tc>
          <w:tcPr>
            <w:tcW w:w="746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Lynne M. Laube</w:t>
            </w:r>
          </w:p>
        </w:tc>
        <w:tc>
          <w:tcPr>
            <w:tcW w:w="1820" w:type="dxa"/>
            <w:vAlign w:val="bottom"/>
            <w:tcBorders>
              <w:bottom w:val="single" w:sz="8" w:color="F2FFFF"/>
              <w:right w:val="single" w:sz="8" w:color="B2B2B2"/>
            </w:tcBorders>
            <w:shd w:val="clear" w:color="auto" w:fill="F2FFFF"/>
          </w:tcPr>
          <w:p>
            <w:pPr>
              <w:jc w:val="right"/>
              <w:ind w:right="341"/>
              <w:spacing w:after="0"/>
              <w:rPr>
                <w:sz w:val="20"/>
                <w:szCs w:val="20"/>
                <w:color w:val="auto"/>
              </w:rPr>
            </w:pPr>
            <w:r>
              <w:rPr>
                <w:rFonts w:ascii="Arial" w:cs="Arial" w:eastAsia="Arial" w:hAnsi="Arial"/>
                <w:sz w:val="16"/>
                <w:szCs w:val="16"/>
                <w:color w:val="auto"/>
              </w:rPr>
              <w:t>120,000</w:t>
            </w:r>
          </w:p>
        </w:tc>
        <w:tc>
          <w:tcPr>
            <w:tcW w:w="1740" w:type="dxa"/>
            <w:vAlign w:val="bottom"/>
            <w:tcBorders>
              <w:bottom w:val="single" w:sz="8" w:color="F2FFFF"/>
            </w:tcBorders>
            <w:shd w:val="clear" w:color="auto" w:fill="F2FFFF"/>
          </w:tcPr>
          <w:p>
            <w:pPr>
              <w:jc w:val="right"/>
              <w:ind w:right="341"/>
              <w:spacing w:after="0"/>
              <w:rPr>
                <w:sz w:val="20"/>
                <w:szCs w:val="20"/>
                <w:color w:val="auto"/>
              </w:rPr>
            </w:pPr>
            <w:r>
              <w:rPr>
                <w:rFonts w:ascii="Arial" w:cs="Arial" w:eastAsia="Arial" w:hAnsi="Arial"/>
                <w:sz w:val="16"/>
                <w:szCs w:val="16"/>
                <w:color w:val="auto"/>
              </w:rPr>
              <w:t>—</w:t>
            </w:r>
          </w:p>
        </w:tc>
      </w:tr>
      <w:tr>
        <w:trPr>
          <w:trHeight w:val="276"/>
        </w:trPr>
        <w:tc>
          <w:tcPr>
            <w:tcW w:w="74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Thomas Loverro</w:t>
            </w:r>
          </w:p>
        </w:tc>
        <w:tc>
          <w:tcPr>
            <w:tcW w:w="1820" w:type="dxa"/>
            <w:vAlign w:val="bottom"/>
            <w:tcBorders>
              <w:right w:val="single" w:sz="8" w:color="B2B2B2"/>
            </w:tcBorders>
          </w:tcPr>
          <w:p>
            <w:pPr>
              <w:jc w:val="right"/>
              <w:ind w:right="34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48"/>
        </w:trPr>
        <w:tc>
          <w:tcPr>
            <w:tcW w:w="7460" w:type="dxa"/>
            <w:vAlign w:val="bottom"/>
            <w:tcBorders>
              <w:right w:val="single" w:sz="8" w:color="B2B2B2"/>
            </w:tcBorders>
          </w:tcPr>
          <w:p>
            <w:pPr>
              <w:spacing w:after="0"/>
              <w:rPr>
                <w:sz w:val="4"/>
                <w:szCs w:val="4"/>
                <w:color w:val="auto"/>
              </w:rPr>
            </w:pPr>
          </w:p>
        </w:tc>
        <w:tc>
          <w:tcPr>
            <w:tcW w:w="1820" w:type="dxa"/>
            <w:vAlign w:val="bottom"/>
            <w:tcBorders>
              <w:right w:val="single" w:sz="8" w:color="B2B2B2"/>
            </w:tcBorders>
          </w:tcPr>
          <w:p>
            <w:pPr>
              <w:spacing w:after="0"/>
              <w:rPr>
                <w:sz w:val="4"/>
                <w:szCs w:val="4"/>
                <w:color w:val="auto"/>
              </w:rPr>
            </w:pPr>
          </w:p>
        </w:tc>
        <w:tc>
          <w:tcPr>
            <w:tcW w:w="1740" w:type="dxa"/>
            <w:vAlign w:val="bottom"/>
          </w:tcPr>
          <w:p>
            <w:pPr>
              <w:spacing w:after="0"/>
              <w:rPr>
                <w:sz w:val="4"/>
                <w:szCs w:val="4"/>
                <w:color w:val="auto"/>
              </w:rPr>
            </w:pPr>
          </w:p>
        </w:tc>
      </w:tr>
      <w:tr>
        <w:trPr>
          <w:trHeight w:val="304"/>
        </w:trPr>
        <w:tc>
          <w:tcPr>
            <w:tcW w:w="746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James D. Robinson III</w:t>
            </w:r>
          </w:p>
        </w:tc>
        <w:tc>
          <w:tcPr>
            <w:tcW w:w="1820" w:type="dxa"/>
            <w:vAlign w:val="bottom"/>
            <w:tcBorders>
              <w:bottom w:val="single" w:sz="8" w:color="F2FFFF"/>
              <w:right w:val="single" w:sz="8" w:color="B2B2B2"/>
            </w:tcBorders>
            <w:shd w:val="clear" w:color="auto" w:fill="F2FFFF"/>
          </w:tcPr>
          <w:p>
            <w:pPr>
              <w:jc w:val="right"/>
              <w:ind w:right="341"/>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FFF"/>
            </w:tcBorders>
            <w:shd w:val="clear" w:color="auto" w:fill="F2FFFF"/>
          </w:tcPr>
          <w:p>
            <w:pPr>
              <w:jc w:val="right"/>
              <w:ind w:right="341"/>
              <w:spacing w:after="0"/>
              <w:rPr>
                <w:sz w:val="20"/>
                <w:szCs w:val="20"/>
                <w:color w:val="auto"/>
              </w:rPr>
            </w:pPr>
            <w:r>
              <w:rPr>
                <w:rFonts w:ascii="Arial" w:cs="Arial" w:eastAsia="Arial" w:hAnsi="Arial"/>
                <w:sz w:val="16"/>
                <w:szCs w:val="16"/>
                <w:color w:val="auto"/>
              </w:rPr>
              <w:t>—</w:t>
            </w:r>
          </w:p>
        </w:tc>
      </w:tr>
      <w:tr>
        <w:trPr>
          <w:trHeight w:val="20"/>
        </w:trPr>
        <w:tc>
          <w:tcPr>
            <w:tcW w:w="7460" w:type="dxa"/>
            <w:vAlign w:val="bottom"/>
            <w:tcBorders>
              <w:right w:val="single" w:sz="8" w:color="B2B2B2"/>
            </w:tcBorders>
            <w:shd w:val="clear" w:color="auto" w:fill="B2B2B2"/>
          </w:tcPr>
          <w:p>
            <w:pPr>
              <w:spacing w:after="0" w:line="20" w:lineRule="exact"/>
              <w:rPr>
                <w:sz w:val="1"/>
                <w:szCs w:val="1"/>
                <w:color w:val="auto"/>
              </w:rPr>
            </w:pPr>
          </w:p>
        </w:tc>
        <w:tc>
          <w:tcPr>
            <w:tcW w:w="1820" w:type="dxa"/>
            <w:vAlign w:val="bottom"/>
            <w:tcBorders>
              <w:right w:val="single" w:sz="8" w:color="B2B2B2"/>
            </w:tcBorders>
            <w:shd w:val="clear" w:color="auto" w:fill="B2B2B2"/>
          </w:tcPr>
          <w:p>
            <w:pPr>
              <w:spacing w:after="0" w:line="20" w:lineRule="exact"/>
              <w:rPr>
                <w:sz w:val="1"/>
                <w:szCs w:val="1"/>
                <w:color w:val="auto"/>
              </w:rPr>
            </w:pPr>
          </w:p>
        </w:tc>
        <w:tc>
          <w:tcPr>
            <w:tcW w:w="1740" w:type="dxa"/>
            <w:vAlign w:val="bottom"/>
            <w:shd w:val="clear" w:color="auto" w:fill="B2B2B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702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080" w:hanging="741"/>
        <w:spacing w:after="0"/>
        <w:tabs>
          <w:tab w:leader="none" w:pos="10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50"/>
          <w:szCs w:val="50"/>
          <w:color w:val="auto"/>
        </w:rPr>
        <w:t>Executive Officers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descriptions of the backgrounds of each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8091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809115"/>
                    </a:xfrm>
                    <a:prstGeom prst="rect">
                      <a:avLst/>
                    </a:prstGeom>
                    <a:noFill/>
                  </pic:spPr>
                </pic:pic>
              </a:graphicData>
            </a:graphic>
          </wp:anchor>
        </w:drawing>
      </w:r>
    </w:p>
    <w:p>
      <w:pPr>
        <w:spacing w:after="0" w:line="111" w:lineRule="exact"/>
        <w:rPr>
          <w:sz w:val="20"/>
          <w:szCs w:val="20"/>
          <w:color w:val="auto"/>
        </w:rPr>
      </w:pPr>
    </w:p>
    <w:p>
      <w:pPr>
        <w:ind w:left="3420" w:right="540"/>
        <w:spacing w:after="0" w:line="286"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Board Matters – Director Background and Qualifications”</w:t>
      </w:r>
      <w:r>
        <w:rPr>
          <w:rFonts w:ascii="Arial" w:cs="Arial" w:eastAsia="Arial" w:hAnsi="Arial"/>
          <w:sz w:val="16"/>
          <w:szCs w:val="16"/>
          <w:color w:val="auto"/>
        </w:rPr>
        <w:t xml:space="preserve"> for biographical and other information regarding Tim Chen.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Executive Officer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Chairman of our Board</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Lauren StClair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8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688465"/>
                    </a:xfrm>
                    <a:prstGeom prst="rect">
                      <a:avLst/>
                    </a:prstGeom>
                    <a:noFill/>
                  </pic:spPr>
                </pic:pic>
              </a:graphicData>
            </a:graphic>
          </wp:anchor>
        </w:drawing>
      </w:r>
    </w:p>
    <w:p>
      <w:pPr>
        <w:spacing w:after="0" w:line="111" w:lineRule="exact"/>
        <w:rPr>
          <w:sz w:val="20"/>
          <w:szCs w:val="20"/>
          <w:color w:val="auto"/>
        </w:rPr>
      </w:pPr>
    </w:p>
    <w:p>
      <w:pPr>
        <w:ind w:left="3420" w:right="20"/>
        <w:spacing w:after="0" w:line="256" w:lineRule="auto"/>
        <w:rPr>
          <w:sz w:val="20"/>
          <w:szCs w:val="20"/>
          <w:color w:val="auto"/>
        </w:rPr>
      </w:pPr>
      <w:r>
        <w:rPr>
          <w:rFonts w:ascii="Arial" w:cs="Arial" w:eastAsia="Arial" w:hAnsi="Arial"/>
          <w:sz w:val="16"/>
          <w:szCs w:val="16"/>
          <w:b w:val="1"/>
          <w:bCs w:val="1"/>
          <w:color w:val="auto"/>
        </w:rPr>
        <w:t xml:space="preserve">Lauren StClair. </w:t>
      </w:r>
      <w:r>
        <w:rPr>
          <w:rFonts w:ascii="Arial" w:cs="Arial" w:eastAsia="Arial" w:hAnsi="Arial"/>
          <w:sz w:val="16"/>
          <w:szCs w:val="16"/>
          <w:color w:val="auto"/>
        </w:rPr>
        <w:t>Ms. StClair has served as our Chief Financial Officer since December 2020.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NerdWallet, Ms. StClair served as CFO, North America at eBay Inc., a position she held since June 2019. Prior to June 2019, Ms. StClair served as CFO, International at StubHub, a position she held since February 2017. Prior to February 2017, Ms. StClair served as Director, Investor Relations at eBay Inc. Ms. StClair holds a B.S. from Stanford University and M.B.A. from Duke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Financial Officer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John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9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689100"/>
                    </a:xfrm>
                    <a:prstGeom prst="rect">
                      <a:avLst/>
                    </a:prstGeom>
                    <a:noFill/>
                  </pic:spPr>
                </pic:pic>
              </a:graphicData>
            </a:graphic>
          </wp:anchor>
        </w:drawing>
      </w:r>
    </w:p>
    <w:p>
      <w:pPr>
        <w:spacing w:after="0" w:line="111" w:lineRule="exact"/>
        <w:rPr>
          <w:sz w:val="20"/>
          <w:szCs w:val="20"/>
          <w:color w:val="auto"/>
        </w:rPr>
      </w:pPr>
    </w:p>
    <w:p>
      <w:pPr>
        <w:ind w:left="3420" w:right="160"/>
        <w:spacing w:after="0" w:line="259" w:lineRule="auto"/>
        <w:rPr>
          <w:sz w:val="20"/>
          <w:szCs w:val="20"/>
          <w:color w:val="auto"/>
        </w:rPr>
      </w:pPr>
      <w:r>
        <w:rPr>
          <w:rFonts w:ascii="Arial" w:cs="Arial" w:eastAsia="Arial" w:hAnsi="Arial"/>
          <w:sz w:val="16"/>
          <w:szCs w:val="16"/>
          <w:b w:val="1"/>
          <w:bCs w:val="1"/>
          <w:color w:val="auto"/>
        </w:rPr>
        <w:t xml:space="preserve">John Caine. </w:t>
      </w:r>
      <w:r>
        <w:rPr>
          <w:rFonts w:ascii="Arial" w:cs="Arial" w:eastAsia="Arial" w:hAnsi="Arial"/>
          <w:sz w:val="16"/>
          <w:szCs w:val="16"/>
          <w:color w:val="auto"/>
        </w:rPr>
        <w:t>Mr. Caine has served as our Chief Product Officer since December 2021.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NerdWallet, Mr. Caine served as the Chief Conversion and Chief Product Officer of Vroom Inc., a publicly-traded used car retailer and e-commerce company, a role he held beginning in 2018. From 2016 to 2018, he served as the Chief Conversion Officer of Vroom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Product Officer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7029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Kelly Gillease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9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689100"/>
                    </a:xfrm>
                    <a:prstGeom prst="rect">
                      <a:avLst/>
                    </a:prstGeom>
                    <a:noFill/>
                  </pic:spPr>
                </pic:pic>
              </a:graphicData>
            </a:graphic>
          </wp:anchor>
        </w:drawing>
      </w:r>
    </w:p>
    <w:p>
      <w:pPr>
        <w:spacing w:after="0" w:line="111" w:lineRule="exact"/>
        <w:rPr>
          <w:sz w:val="20"/>
          <w:szCs w:val="20"/>
          <w:color w:val="auto"/>
        </w:rPr>
      </w:pPr>
    </w:p>
    <w:p>
      <w:pPr>
        <w:ind w:left="3420"/>
        <w:spacing w:after="0" w:line="256" w:lineRule="auto"/>
        <w:rPr>
          <w:sz w:val="20"/>
          <w:szCs w:val="20"/>
          <w:color w:val="auto"/>
        </w:rPr>
      </w:pPr>
      <w:r>
        <w:rPr>
          <w:rFonts w:ascii="Arial" w:cs="Arial" w:eastAsia="Arial" w:hAnsi="Arial"/>
          <w:sz w:val="16"/>
          <w:szCs w:val="16"/>
          <w:b w:val="1"/>
          <w:bCs w:val="1"/>
          <w:color w:val="auto"/>
        </w:rPr>
        <w:t>Kelly Gillease</w:t>
      </w:r>
      <w:r>
        <w:rPr>
          <w:rFonts w:ascii="Arial" w:cs="Arial" w:eastAsia="Arial" w:hAnsi="Arial"/>
          <w:sz w:val="16"/>
          <w:szCs w:val="16"/>
          <w:color w:val="auto"/>
        </w:rPr>
        <w:t>. Ms. Gillease has served as our Chief Marketing Officer since September of 2019.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2019, Ms. Gillease served as our Vice President, Marketing beginning in August of 2018. Prior to joining NerdWallet, Ms. Gillease served as Chief Marketing Officer at StudyBlue, a position she began in February 2017. Prior to February 2017, Ms. Gillease served as Vice President, Marketing at TripAdvisor/Viator. Ms. Gillease holds a B.A. from the University of California,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Marketing Officer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Kevin Yuann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9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689100"/>
                    </a:xfrm>
                    <a:prstGeom prst="rect">
                      <a:avLst/>
                    </a:prstGeom>
                    <a:noFill/>
                  </pic:spPr>
                </pic:pic>
              </a:graphicData>
            </a:graphic>
          </wp:anchor>
        </w:drawing>
      </w:r>
    </w:p>
    <w:p>
      <w:pPr>
        <w:spacing w:after="0" w:line="111" w:lineRule="exact"/>
        <w:rPr>
          <w:sz w:val="20"/>
          <w:szCs w:val="20"/>
          <w:color w:val="auto"/>
        </w:rPr>
      </w:pPr>
    </w:p>
    <w:p>
      <w:pPr>
        <w:ind w:left="3420" w:right="360"/>
        <w:spacing w:after="0" w:line="259" w:lineRule="auto"/>
        <w:rPr>
          <w:sz w:val="20"/>
          <w:szCs w:val="20"/>
          <w:color w:val="auto"/>
        </w:rPr>
      </w:pPr>
      <w:r>
        <w:rPr>
          <w:rFonts w:ascii="Arial" w:cs="Arial" w:eastAsia="Arial" w:hAnsi="Arial"/>
          <w:sz w:val="16"/>
          <w:szCs w:val="16"/>
          <w:b w:val="1"/>
          <w:bCs w:val="1"/>
          <w:color w:val="auto"/>
        </w:rPr>
        <w:t>Kevin Yuann</w:t>
      </w:r>
      <w:r>
        <w:rPr>
          <w:rFonts w:ascii="Arial" w:cs="Arial" w:eastAsia="Arial" w:hAnsi="Arial"/>
          <w:sz w:val="16"/>
          <w:szCs w:val="16"/>
          <w:color w:val="auto"/>
        </w:rPr>
        <w:t>. Mr. Yuann has served as our Chief Business Officer since March 2021. Prior to that,</w:t>
      </w:r>
      <w:r>
        <w:rPr>
          <w:rFonts w:ascii="Arial" w:cs="Arial" w:eastAsia="Arial" w:hAnsi="Arial"/>
          <w:sz w:val="16"/>
          <w:szCs w:val="16"/>
          <w:b w:val="1"/>
          <w:bCs w:val="1"/>
          <w:color w:val="auto"/>
        </w:rPr>
        <w:t xml:space="preserve"> </w:t>
      </w:r>
      <w:r>
        <w:rPr>
          <w:rFonts w:ascii="Arial" w:cs="Arial" w:eastAsia="Arial" w:hAnsi="Arial"/>
          <w:sz w:val="16"/>
          <w:szCs w:val="16"/>
          <w:color w:val="auto"/>
        </w:rPr>
        <w:t>Mr. Yuann served as our Vice President from August 2016 to March 2021 and as Senior Director from March 2016 to August 2016. Mr. Yuann holds an A.B. from Brown University and an M.B.A.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Business Officer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7029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80" w:hanging="741"/>
        <w:spacing w:after="0"/>
        <w:tabs>
          <w:tab w:leader="none" w:pos="108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060"/>
          </w:cols>
          <w:pgMar w:left="320" w:top="455"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EXECUTIVE OFFICERS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Other Senior Management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descriptions of the backgrounds of other members of senior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Hanah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8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688465"/>
                    </a:xfrm>
                    <a:prstGeom prst="rect">
                      <a:avLst/>
                    </a:prstGeom>
                    <a:noFill/>
                  </pic:spPr>
                </pic:pic>
              </a:graphicData>
            </a:graphic>
          </wp:anchor>
        </w:drawing>
      </w:r>
    </w:p>
    <w:p>
      <w:pPr>
        <w:spacing w:after="0" w:line="11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 xml:space="preserve">Hanah Cho. </w:t>
      </w:r>
      <w:r>
        <w:rPr>
          <w:rFonts w:ascii="Arial" w:cs="Arial" w:eastAsia="Arial" w:hAnsi="Arial"/>
          <w:sz w:val="16"/>
          <w:szCs w:val="16"/>
          <w:color w:val="auto"/>
        </w:rPr>
        <w:t>Ms. Cho has served as our Vice President of Content since October 2021. Prior to that,</w:t>
      </w:r>
    </w:p>
    <w:p>
      <w:pPr>
        <w:spacing w:after="0" w:line="21" w:lineRule="exact"/>
        <w:rPr>
          <w:sz w:val="20"/>
          <w:szCs w:val="20"/>
          <w:color w:val="auto"/>
        </w:rPr>
      </w:pPr>
    </w:p>
    <w:p>
      <w:pPr>
        <w:ind w:left="3420" w:right="80"/>
        <w:spacing w:after="0" w:line="250" w:lineRule="auto"/>
        <w:rPr>
          <w:sz w:val="20"/>
          <w:szCs w:val="20"/>
          <w:color w:val="auto"/>
        </w:rPr>
      </w:pPr>
      <w:r>
        <w:rPr>
          <w:rFonts w:ascii="Arial" w:cs="Arial" w:eastAsia="Arial" w:hAnsi="Arial"/>
          <w:sz w:val="16"/>
          <w:szCs w:val="16"/>
          <w:color w:val="auto"/>
        </w:rPr>
        <w:t>Ms. Cho served as Senior Director, Content, a role she began in January 2021, and as Director, Content, a role she began in September 2020. Previously, Ms. Cho served as Deputy Director of Content from August 2019 to September 2020, as Senior Assigning Editor, Emerging Markets Content Team from November 2018 to September 2019, and as Senior Assigning Editor, Credit Cluster Content Team from September 2017 to November 2018. Ms. Cho holds a B.A. from Rutgers University and an M.J. from the University of Maryland.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VP, Content</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Lynee Luque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8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688465"/>
                    </a:xfrm>
                    <a:prstGeom prst="rect">
                      <a:avLst/>
                    </a:prstGeom>
                    <a:noFill/>
                  </pic:spPr>
                </pic:pic>
              </a:graphicData>
            </a:graphic>
          </wp:anchor>
        </w:drawing>
      </w:r>
    </w:p>
    <w:p>
      <w:pPr>
        <w:spacing w:after="0" w:line="11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 xml:space="preserve">Lynee Luque. </w:t>
      </w:r>
      <w:r>
        <w:rPr>
          <w:rFonts w:ascii="Arial" w:cs="Arial" w:eastAsia="Arial" w:hAnsi="Arial"/>
          <w:sz w:val="16"/>
          <w:szCs w:val="16"/>
          <w:color w:val="auto"/>
        </w:rPr>
        <w:t>Ms. Luque has served as our Chief People Officer since April 1, 2022. Prior to that,</w:t>
      </w:r>
    </w:p>
    <w:p>
      <w:pPr>
        <w:spacing w:after="0" w:line="21" w:lineRule="exact"/>
        <w:rPr>
          <w:sz w:val="20"/>
          <w:szCs w:val="20"/>
          <w:color w:val="auto"/>
        </w:rPr>
      </w:pPr>
    </w:p>
    <w:p>
      <w:pPr>
        <w:ind w:left="3420" w:right="60"/>
        <w:spacing w:after="0" w:line="251" w:lineRule="auto"/>
        <w:rPr>
          <w:sz w:val="20"/>
          <w:szCs w:val="20"/>
          <w:color w:val="auto"/>
        </w:rPr>
      </w:pPr>
      <w:r>
        <w:rPr>
          <w:rFonts w:ascii="Arial" w:cs="Arial" w:eastAsia="Arial" w:hAnsi="Arial"/>
          <w:sz w:val="16"/>
          <w:szCs w:val="16"/>
          <w:color w:val="auto"/>
        </w:rPr>
        <w:t>Ms. Luque served as our Vice President of People Operations since joining NerdWallet in September of 2020. Prior to joining NerdWallet, Ms. Luque served as VP and Head of People at Envoy, a position she held beginning in September 2018. Before her role at Envoy, Ms. Luque served as Global Human Resources Director for Twitter. Ms. Luque has a B.S. degree from the University of California, Berkeley and an M.B.A. from the University of Michigan, Ann 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Chief People Officer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207645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60BAFF"/>
        </w:rPr>
        <w:t>Ekumene “E” Lysonge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1688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688465"/>
                    </a:xfrm>
                    <a:prstGeom prst="rect">
                      <a:avLst/>
                    </a:prstGeom>
                    <a:noFill/>
                  </pic:spPr>
                </pic:pic>
              </a:graphicData>
            </a:graphic>
          </wp:anchor>
        </w:drawing>
      </w:r>
    </w:p>
    <w:p>
      <w:pPr>
        <w:spacing w:after="0" w:line="111" w:lineRule="exact"/>
        <w:rPr>
          <w:sz w:val="20"/>
          <w:szCs w:val="20"/>
          <w:color w:val="auto"/>
        </w:rPr>
      </w:pPr>
    </w:p>
    <w:p>
      <w:pPr>
        <w:ind w:left="3420" w:right="100"/>
        <w:spacing w:after="0" w:line="254" w:lineRule="auto"/>
        <w:rPr>
          <w:sz w:val="20"/>
          <w:szCs w:val="20"/>
          <w:color w:val="auto"/>
        </w:rPr>
      </w:pPr>
      <w:r>
        <w:rPr>
          <w:rFonts w:ascii="Arial" w:cs="Arial" w:eastAsia="Arial" w:hAnsi="Arial"/>
          <w:sz w:val="16"/>
          <w:szCs w:val="16"/>
          <w:b w:val="1"/>
          <w:bCs w:val="1"/>
          <w:color w:val="auto"/>
        </w:rPr>
        <w:t xml:space="preserve">Ekumene “E” Lysonge. </w:t>
      </w:r>
      <w:r>
        <w:rPr>
          <w:rFonts w:ascii="Arial" w:cs="Arial" w:eastAsia="Arial" w:hAnsi="Arial"/>
          <w:sz w:val="16"/>
          <w:szCs w:val="16"/>
          <w:color w:val="auto"/>
        </w:rPr>
        <w:t>Mr. Lysonge has served as our General Counsel since April 2021. Prior to joining</w:t>
      </w:r>
      <w:r>
        <w:rPr>
          <w:rFonts w:ascii="Arial" w:cs="Arial" w:eastAsia="Arial" w:hAnsi="Arial"/>
          <w:sz w:val="16"/>
          <w:szCs w:val="16"/>
          <w:b w:val="1"/>
          <w:bCs w:val="1"/>
          <w:color w:val="auto"/>
        </w:rPr>
        <w:t xml:space="preserve"> </w:t>
      </w:r>
      <w:r>
        <w:rPr>
          <w:rFonts w:ascii="Arial" w:cs="Arial" w:eastAsia="Arial" w:hAnsi="Arial"/>
          <w:sz w:val="16"/>
          <w:szCs w:val="16"/>
          <w:color w:val="auto"/>
        </w:rPr>
        <w:t>NerdWallet, Mr. Lysonge served as Deputy General Counsel and Assistant Corporate Secretary at Jones Lange LaSalle, a position he held beginning in January 2020. Mr. Lysonge served as Vice President and General Counsel of Snapfish from March 2019 through January 2020. Prior to his role at Snapfish, Mr. Lysonge served as Vice President, General Counsel, and Corporate Secretary at CafePress, Inc. Mr. Lysonge holds a J.D. from the Vanderbilt University Law School and a B.A. from Fisk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General Counsel</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7029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NAMED EXECUTIVE OFFICER COMPENSATION TABLES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Named Executive Officer Compensation Tables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Named Executive Officers for the year ended December 31, 2021 were:</w:t>
      </w:r>
    </w:p>
    <w:p>
      <w:pPr>
        <w:spacing w:after="0" w:line="167" w:lineRule="exact"/>
        <w:rPr>
          <w:sz w:val="20"/>
          <w:szCs w:val="20"/>
          <w:color w:val="auto"/>
        </w:rPr>
      </w:pPr>
    </w:p>
    <w:p>
      <w:pPr>
        <w:ind w:left="540" w:hanging="316"/>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Tim Chen, our Chief Executive Officer and Chairman of our Board;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John Caine, our Chief Product Officer;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Kelly Gillease, our Chief Marketing Officer.</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2021 Summary Compensation Table</w:t>
      </w:r>
    </w:p>
    <w:p>
      <w:pPr>
        <w:spacing w:after="0" w:line="249" w:lineRule="exact"/>
        <w:rPr>
          <w:sz w:val="20"/>
          <w:szCs w:val="20"/>
          <w:color w:val="auto"/>
        </w:rPr>
      </w:pPr>
    </w:p>
    <w:p>
      <w:pPr>
        <w:ind w:left="120" w:right="80"/>
        <w:spacing w:after="0" w:line="339" w:lineRule="auto"/>
        <w:rPr>
          <w:sz w:val="20"/>
          <w:szCs w:val="20"/>
          <w:color w:val="auto"/>
        </w:rPr>
      </w:pPr>
      <w:r>
        <w:rPr>
          <w:rFonts w:ascii="Arial" w:cs="Arial" w:eastAsia="Arial" w:hAnsi="Arial"/>
          <w:sz w:val="16"/>
          <w:szCs w:val="16"/>
          <w:color w:val="auto"/>
        </w:rPr>
        <w:t>The following table shows the compensation awarded to, earned by or paid to our Named Executive Officers for the year ended December 31, 2021 and, where applicable, December 31, 2020.</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360" w:type="dxa"/>
            <w:vAlign w:val="bottom"/>
            <w:tcBorders>
              <w:top w:val="single" w:sz="8" w:color="60BAFF"/>
              <w:right w:val="single" w:sz="8" w:color="B2B2B2"/>
            </w:tcBorders>
          </w:tcPr>
          <w:p>
            <w:pPr>
              <w:spacing w:after="0"/>
              <w:rPr>
                <w:sz w:val="19"/>
                <w:szCs w:val="19"/>
                <w:color w:val="auto"/>
              </w:rPr>
            </w:pPr>
          </w:p>
        </w:tc>
        <w:tc>
          <w:tcPr>
            <w:tcW w:w="780" w:type="dxa"/>
            <w:vAlign w:val="bottom"/>
            <w:tcBorders>
              <w:top w:val="single" w:sz="8" w:color="60BAFF"/>
              <w:right w:val="single" w:sz="8" w:color="B2B2B2"/>
            </w:tcBorders>
          </w:tcPr>
          <w:p>
            <w:pPr>
              <w:spacing w:after="0"/>
              <w:rPr>
                <w:sz w:val="19"/>
                <w:szCs w:val="19"/>
                <w:color w:val="auto"/>
              </w:rPr>
            </w:pPr>
          </w:p>
        </w:tc>
        <w:tc>
          <w:tcPr>
            <w:tcW w:w="1040" w:type="dxa"/>
            <w:vAlign w:val="bottom"/>
            <w:tcBorders>
              <w:top w:val="single" w:sz="8" w:color="60BAFF"/>
              <w:right w:val="single" w:sz="8" w:color="B2B2B2"/>
            </w:tcBorders>
          </w:tcPr>
          <w:p>
            <w:pPr>
              <w:spacing w:after="0"/>
              <w:rPr>
                <w:sz w:val="19"/>
                <w:szCs w:val="19"/>
                <w:color w:val="auto"/>
              </w:rPr>
            </w:pPr>
          </w:p>
        </w:tc>
        <w:tc>
          <w:tcPr>
            <w:tcW w:w="700" w:type="dxa"/>
            <w:vAlign w:val="bottom"/>
            <w:tcBorders>
              <w:top w:val="single" w:sz="8" w:color="60BAFF"/>
              <w:right w:val="single" w:sz="8" w:color="B2B2B2"/>
            </w:tcBorders>
          </w:tcPr>
          <w:p>
            <w:pPr>
              <w:spacing w:after="0"/>
              <w:rPr>
                <w:sz w:val="19"/>
                <w:szCs w:val="19"/>
                <w:color w:val="auto"/>
              </w:rPr>
            </w:pPr>
          </w:p>
        </w:tc>
        <w:tc>
          <w:tcPr>
            <w:tcW w:w="1160" w:type="dxa"/>
            <w:vAlign w:val="bottom"/>
            <w:tcBorders>
              <w:top w:val="single" w:sz="8" w:color="60BAFF"/>
              <w:right w:val="single" w:sz="8" w:color="B2B2B2"/>
            </w:tcBorders>
          </w:tcPr>
          <w:p>
            <w:pPr>
              <w:spacing w:after="0"/>
              <w:rPr>
                <w:sz w:val="19"/>
                <w:szCs w:val="19"/>
                <w:color w:val="auto"/>
              </w:rPr>
            </w:pPr>
          </w:p>
        </w:tc>
        <w:tc>
          <w:tcPr>
            <w:tcW w:w="1140" w:type="dxa"/>
            <w:vAlign w:val="bottom"/>
            <w:tcBorders>
              <w:top w:val="single" w:sz="8" w:color="60BAFF"/>
              <w:right w:val="single" w:sz="8" w:color="B2B2B2"/>
            </w:tcBorders>
          </w:tcPr>
          <w:p>
            <w:pPr>
              <w:spacing w:after="0"/>
              <w:rPr>
                <w:sz w:val="19"/>
                <w:szCs w:val="19"/>
                <w:color w:val="auto"/>
              </w:rPr>
            </w:pPr>
          </w:p>
        </w:tc>
        <w:tc>
          <w:tcPr>
            <w:tcW w:w="1360" w:type="dxa"/>
            <w:vAlign w:val="bottom"/>
            <w:tcBorders>
              <w:top w:val="single" w:sz="8" w:color="60BAFF"/>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NON-EQUITY</w:t>
            </w:r>
          </w:p>
        </w:tc>
        <w:tc>
          <w:tcPr>
            <w:tcW w:w="1340" w:type="dxa"/>
            <w:vAlign w:val="bottom"/>
            <w:tcBorders>
              <w:top w:val="single" w:sz="8" w:color="60BAFF"/>
              <w:right w:val="single" w:sz="8" w:color="B2B2B2"/>
            </w:tcBorders>
          </w:tcPr>
          <w:p>
            <w:pPr>
              <w:spacing w:after="0"/>
              <w:rPr>
                <w:sz w:val="19"/>
                <w:szCs w:val="19"/>
                <w:color w:val="auto"/>
              </w:rPr>
            </w:pPr>
          </w:p>
        </w:tc>
        <w:tc>
          <w:tcPr>
            <w:tcW w:w="1140" w:type="dxa"/>
            <w:vAlign w:val="bottom"/>
            <w:tcBorders>
              <w:top w:val="single" w:sz="8" w:color="60BA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 AND</w:t>
            </w:r>
          </w:p>
        </w:tc>
        <w:tc>
          <w:tcPr>
            <w:tcW w:w="780" w:type="dxa"/>
            <w:vAlign w:val="bottom"/>
            <w:tcBorders>
              <w:right w:val="single" w:sz="8" w:color="B2B2B2"/>
            </w:tcBorders>
          </w:tcPr>
          <w:p>
            <w:pPr>
              <w:spacing w:after="0"/>
              <w:rPr>
                <w:sz w:val="14"/>
                <w:szCs w:val="14"/>
                <w:color w:val="auto"/>
              </w:rPr>
            </w:pPr>
          </w:p>
        </w:tc>
        <w:tc>
          <w:tcPr>
            <w:tcW w:w="1040" w:type="dxa"/>
            <w:vAlign w:val="bottom"/>
            <w:tcBorders>
              <w:right w:val="single" w:sz="8" w:color="B2B2B2"/>
            </w:tcBorders>
          </w:tcPr>
          <w:p>
            <w:pPr>
              <w:spacing w:after="0"/>
              <w:rPr>
                <w:sz w:val="14"/>
                <w:szCs w:val="14"/>
                <w:color w:val="auto"/>
              </w:rPr>
            </w:pPr>
          </w:p>
        </w:tc>
        <w:tc>
          <w:tcPr>
            <w:tcW w:w="700" w:type="dxa"/>
            <w:vAlign w:val="bottom"/>
            <w:tcBorders>
              <w:right w:val="single" w:sz="8" w:color="B2B2B2"/>
            </w:tcBorders>
          </w:tcPr>
          <w:p>
            <w:pPr>
              <w:spacing w:after="0"/>
              <w:rPr>
                <w:sz w:val="14"/>
                <w:szCs w:val="14"/>
                <w:color w:val="auto"/>
              </w:rPr>
            </w:pPr>
          </w:p>
        </w:tc>
        <w:tc>
          <w:tcPr>
            <w:tcW w:w="11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STOCK</w:t>
            </w:r>
          </w:p>
        </w:tc>
        <w:tc>
          <w:tcPr>
            <w:tcW w:w="114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OPTION</w:t>
            </w:r>
          </w:p>
        </w:tc>
        <w:tc>
          <w:tcPr>
            <w:tcW w:w="13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INCENTIVE PLAN</w:t>
            </w:r>
          </w:p>
        </w:tc>
        <w:tc>
          <w:tcPr>
            <w:tcW w:w="134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360" w:type="dxa"/>
            <w:vAlign w:val="bottom"/>
            <w:tcBorders>
              <w:right w:val="single" w:sz="8" w:color="B2B2B2"/>
            </w:tcBorders>
          </w:tcPr>
          <w:p>
            <w:pPr>
              <w:spacing w:after="0" w:line="158" w:lineRule="exact"/>
              <w:rPr>
                <w:sz w:val="20"/>
                <w:szCs w:val="20"/>
                <w:color w:val="auto"/>
              </w:rPr>
            </w:pPr>
            <w:r>
              <w:rPr>
                <w:rFonts w:ascii="Arial" w:cs="Arial" w:eastAsia="Arial" w:hAnsi="Arial"/>
                <w:sz w:val="14"/>
                <w:szCs w:val="14"/>
                <w:b w:val="1"/>
                <w:bCs w:val="1"/>
                <w:color w:val="60BAFF"/>
              </w:rPr>
              <w:t>PRINCIPAL</w:t>
            </w:r>
          </w:p>
        </w:tc>
        <w:tc>
          <w:tcPr>
            <w:tcW w:w="780" w:type="dxa"/>
            <w:vAlign w:val="bottom"/>
            <w:tcBorders>
              <w:right w:val="single" w:sz="8" w:color="B2B2B2"/>
            </w:tcBorders>
          </w:tcPr>
          <w:p>
            <w:pPr>
              <w:spacing w:after="0"/>
              <w:rPr>
                <w:sz w:val="13"/>
                <w:szCs w:val="13"/>
                <w:color w:val="auto"/>
              </w:rPr>
            </w:pPr>
          </w:p>
        </w:tc>
        <w:tc>
          <w:tcPr>
            <w:tcW w:w="1040" w:type="dxa"/>
            <w:vAlign w:val="bottom"/>
            <w:tcBorders>
              <w:right w:val="single" w:sz="8" w:color="B2B2B2"/>
            </w:tcBorders>
          </w:tcPr>
          <w:p>
            <w:pPr>
              <w:jc w:val="right"/>
              <w:ind w:right="162"/>
              <w:spacing w:after="0" w:line="158" w:lineRule="exact"/>
              <w:rPr>
                <w:sz w:val="20"/>
                <w:szCs w:val="20"/>
                <w:color w:val="auto"/>
              </w:rPr>
            </w:pPr>
            <w:r>
              <w:rPr>
                <w:rFonts w:ascii="Arial" w:cs="Arial" w:eastAsia="Arial" w:hAnsi="Arial"/>
                <w:sz w:val="14"/>
                <w:szCs w:val="14"/>
                <w:b w:val="1"/>
                <w:bCs w:val="1"/>
                <w:color w:val="60BAFF"/>
              </w:rPr>
              <w:t>SALARY</w:t>
            </w:r>
          </w:p>
        </w:tc>
        <w:tc>
          <w:tcPr>
            <w:tcW w:w="700" w:type="dxa"/>
            <w:vAlign w:val="bottom"/>
            <w:tcBorders>
              <w:right w:val="single" w:sz="8" w:color="B2B2B2"/>
            </w:tcBorders>
          </w:tcPr>
          <w:p>
            <w:pPr>
              <w:ind w:left="80"/>
              <w:spacing w:after="0" w:line="158" w:lineRule="exact"/>
              <w:rPr>
                <w:sz w:val="20"/>
                <w:szCs w:val="20"/>
                <w:color w:val="auto"/>
              </w:rPr>
            </w:pPr>
            <w:r>
              <w:rPr>
                <w:rFonts w:ascii="Arial" w:cs="Arial" w:eastAsia="Arial" w:hAnsi="Arial"/>
                <w:sz w:val="14"/>
                <w:szCs w:val="14"/>
                <w:b w:val="1"/>
                <w:bCs w:val="1"/>
                <w:color w:val="60BAFF"/>
              </w:rPr>
              <w:t>BONUS</w:t>
            </w:r>
          </w:p>
        </w:tc>
        <w:tc>
          <w:tcPr>
            <w:tcW w:w="1160" w:type="dxa"/>
            <w:vAlign w:val="bottom"/>
            <w:tcBorders>
              <w:right w:val="single" w:sz="8" w:color="B2B2B2"/>
            </w:tcBorders>
          </w:tcPr>
          <w:p>
            <w:pPr>
              <w:jc w:val="center"/>
              <w:spacing w:after="0" w:line="158" w:lineRule="exact"/>
              <w:rPr>
                <w:sz w:val="20"/>
                <w:szCs w:val="20"/>
                <w:color w:val="auto"/>
              </w:rPr>
            </w:pPr>
            <w:r>
              <w:rPr>
                <w:rFonts w:ascii="Arial" w:cs="Arial" w:eastAsia="Arial" w:hAnsi="Arial"/>
                <w:sz w:val="14"/>
                <w:szCs w:val="14"/>
                <w:b w:val="1"/>
                <w:bCs w:val="1"/>
                <w:color w:val="60BAFF"/>
                <w:w w:val="98"/>
              </w:rPr>
              <w:t>AWARDS</w:t>
            </w:r>
          </w:p>
        </w:tc>
        <w:tc>
          <w:tcPr>
            <w:tcW w:w="1140" w:type="dxa"/>
            <w:vAlign w:val="bottom"/>
            <w:tcBorders>
              <w:right w:val="single" w:sz="8" w:color="B2B2B2"/>
            </w:tcBorders>
          </w:tcPr>
          <w:p>
            <w:pPr>
              <w:jc w:val="center"/>
              <w:spacing w:after="0" w:line="158" w:lineRule="exact"/>
              <w:rPr>
                <w:sz w:val="20"/>
                <w:szCs w:val="20"/>
                <w:color w:val="auto"/>
              </w:rPr>
            </w:pPr>
            <w:r>
              <w:rPr>
                <w:rFonts w:ascii="Arial" w:cs="Arial" w:eastAsia="Arial" w:hAnsi="Arial"/>
                <w:sz w:val="14"/>
                <w:szCs w:val="14"/>
                <w:b w:val="1"/>
                <w:bCs w:val="1"/>
                <w:color w:val="60BAFF"/>
              </w:rPr>
              <w:t>AWARDS</w:t>
            </w:r>
          </w:p>
        </w:tc>
        <w:tc>
          <w:tcPr>
            <w:tcW w:w="1360" w:type="dxa"/>
            <w:vAlign w:val="bottom"/>
            <w:tcBorders>
              <w:right w:val="single" w:sz="8" w:color="B2B2B2"/>
            </w:tcBorders>
          </w:tcPr>
          <w:p>
            <w:pPr>
              <w:jc w:val="center"/>
              <w:spacing w:after="0" w:line="158" w:lineRule="exact"/>
              <w:rPr>
                <w:sz w:val="20"/>
                <w:szCs w:val="20"/>
                <w:color w:val="auto"/>
              </w:rPr>
            </w:pPr>
            <w:r>
              <w:rPr>
                <w:rFonts w:ascii="Arial" w:cs="Arial" w:eastAsia="Arial" w:hAnsi="Arial"/>
                <w:sz w:val="14"/>
                <w:szCs w:val="14"/>
                <w:b w:val="1"/>
                <w:bCs w:val="1"/>
                <w:color w:val="60BAFF"/>
              </w:rPr>
              <w:t>COMPENSATION</w:t>
            </w:r>
          </w:p>
        </w:tc>
        <w:tc>
          <w:tcPr>
            <w:tcW w:w="1340" w:type="dxa"/>
            <w:vAlign w:val="bottom"/>
            <w:tcBorders>
              <w:right w:val="single" w:sz="8" w:color="B2B2B2"/>
            </w:tcBorders>
          </w:tcPr>
          <w:p>
            <w:pPr>
              <w:jc w:val="center"/>
              <w:spacing w:after="0" w:line="158" w:lineRule="exact"/>
              <w:rPr>
                <w:sz w:val="20"/>
                <w:szCs w:val="20"/>
                <w:color w:val="auto"/>
              </w:rPr>
            </w:pPr>
            <w:r>
              <w:rPr>
                <w:rFonts w:ascii="Arial" w:cs="Arial" w:eastAsia="Arial" w:hAnsi="Arial"/>
                <w:sz w:val="14"/>
                <w:szCs w:val="14"/>
                <w:b w:val="1"/>
                <w:bCs w:val="1"/>
                <w:color w:val="60BAFF"/>
              </w:rPr>
              <w:t>COMPENSATION</w:t>
            </w:r>
          </w:p>
        </w:tc>
        <w:tc>
          <w:tcPr>
            <w:tcW w:w="1140" w:type="dxa"/>
            <w:vAlign w:val="bottom"/>
          </w:tcPr>
          <w:p>
            <w:pPr>
              <w:jc w:val="right"/>
              <w:ind w:right="262"/>
              <w:spacing w:after="0" w:line="158" w:lineRule="exact"/>
              <w:rPr>
                <w:sz w:val="20"/>
                <w:szCs w:val="20"/>
                <w:color w:val="auto"/>
              </w:rPr>
            </w:pPr>
            <w:r>
              <w:rPr>
                <w:rFonts w:ascii="Arial" w:cs="Arial" w:eastAsia="Arial" w:hAnsi="Arial"/>
                <w:sz w:val="14"/>
                <w:szCs w:val="14"/>
                <w:b w:val="1"/>
                <w:bCs w:val="1"/>
                <w:color w:val="60BAFF"/>
              </w:rPr>
              <w:t>TOTAL</w:t>
            </w:r>
          </w:p>
        </w:tc>
        <w:tc>
          <w:tcPr>
            <w:tcW w:w="0" w:type="dxa"/>
            <w:vAlign w:val="bottom"/>
          </w:tcPr>
          <w:p>
            <w:pPr>
              <w:spacing w:after="0"/>
              <w:rPr>
                <w:sz w:val="1"/>
                <w:szCs w:val="1"/>
                <w:color w:val="auto"/>
              </w:rPr>
            </w:pPr>
          </w:p>
        </w:tc>
      </w:tr>
      <w:tr>
        <w:trPr>
          <w:trHeight w:val="256"/>
        </w:trPr>
        <w:tc>
          <w:tcPr>
            <w:tcW w:w="2360" w:type="dxa"/>
            <w:vAlign w:val="bottom"/>
            <w:tcBorders>
              <w:bottom w:val="single" w:sz="8" w:color="60BAFF"/>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POSITION</w:t>
            </w:r>
          </w:p>
        </w:tc>
        <w:tc>
          <w:tcPr>
            <w:tcW w:w="780" w:type="dxa"/>
            <w:vAlign w:val="bottom"/>
            <w:tcBorders>
              <w:bottom w:val="single" w:sz="8" w:color="60BAFF"/>
              <w:right w:val="single" w:sz="8" w:color="B2B2B2"/>
            </w:tcBorders>
          </w:tcPr>
          <w:p>
            <w:pPr>
              <w:jc w:val="right"/>
              <w:ind w:right="141"/>
              <w:spacing w:after="0"/>
              <w:rPr>
                <w:sz w:val="20"/>
                <w:szCs w:val="20"/>
                <w:color w:val="auto"/>
              </w:rPr>
            </w:pPr>
            <w:r>
              <w:rPr>
                <w:rFonts w:ascii="Arial" w:cs="Arial" w:eastAsia="Arial" w:hAnsi="Arial"/>
                <w:sz w:val="14"/>
                <w:szCs w:val="14"/>
                <w:b w:val="1"/>
                <w:bCs w:val="1"/>
                <w:color w:val="60BAFF"/>
              </w:rPr>
              <w:t>YEAR</w:t>
            </w:r>
          </w:p>
        </w:tc>
        <w:tc>
          <w:tcPr>
            <w:tcW w:w="1040" w:type="dxa"/>
            <w:vAlign w:val="bottom"/>
            <w:tcBorders>
              <w:bottom w:val="single" w:sz="8" w:color="60BAFF"/>
              <w:right w:val="single" w:sz="8" w:color="B2B2B2"/>
            </w:tcBorders>
          </w:tcPr>
          <w:p>
            <w:pPr>
              <w:jc w:val="right"/>
              <w:ind w:right="362"/>
              <w:spacing w:after="0"/>
              <w:rPr>
                <w:sz w:val="20"/>
                <w:szCs w:val="20"/>
                <w:color w:val="auto"/>
              </w:rPr>
            </w:pPr>
            <w:r>
              <w:rPr>
                <w:rFonts w:ascii="Arial" w:cs="Arial" w:eastAsia="Arial" w:hAnsi="Arial"/>
                <w:sz w:val="14"/>
                <w:szCs w:val="14"/>
                <w:b w:val="1"/>
                <w:bCs w:val="1"/>
                <w:color w:val="60BAFF"/>
              </w:rPr>
              <w:t>($)</w:t>
            </w:r>
          </w:p>
        </w:tc>
        <w:tc>
          <w:tcPr>
            <w:tcW w:w="700" w:type="dxa"/>
            <w:vAlign w:val="bottom"/>
            <w:tcBorders>
              <w:bottom w:val="single" w:sz="8" w:color="60BAFF"/>
              <w:right w:val="single" w:sz="8" w:color="B2B2B2"/>
            </w:tcBorders>
          </w:tcPr>
          <w:p>
            <w:pPr>
              <w:ind w:left="260"/>
              <w:spacing w:after="0"/>
              <w:rPr>
                <w:sz w:val="20"/>
                <w:szCs w:val="20"/>
                <w:color w:val="auto"/>
              </w:rPr>
            </w:pPr>
            <w:r>
              <w:rPr>
                <w:rFonts w:ascii="Arial" w:cs="Arial" w:eastAsia="Arial" w:hAnsi="Arial"/>
                <w:sz w:val="14"/>
                <w:szCs w:val="14"/>
                <w:b w:val="1"/>
                <w:bCs w:val="1"/>
                <w:color w:val="60BAFF"/>
              </w:rPr>
              <w:t>($)</w:t>
            </w:r>
          </w:p>
        </w:tc>
        <w:tc>
          <w:tcPr>
            <w:tcW w:w="1160" w:type="dxa"/>
            <w:vAlign w:val="bottom"/>
            <w:tcBorders>
              <w:bottom w:val="single" w:sz="8" w:color="60BAFF"/>
              <w:right w:val="single" w:sz="8" w:color="B2B2B2"/>
            </w:tcBorders>
          </w:tcPr>
          <w:p>
            <w:pPr>
              <w:jc w:val="center"/>
              <w:spacing w:after="0" w:line="257" w:lineRule="exact"/>
              <w:rPr>
                <w:sz w:val="20"/>
                <w:szCs w:val="20"/>
                <w:color w:val="auto"/>
              </w:rPr>
            </w:pPr>
            <w:r>
              <w:rPr>
                <w:rFonts w:ascii="Arial" w:cs="Arial" w:eastAsia="Arial" w:hAnsi="Arial"/>
                <w:sz w:val="14"/>
                <w:szCs w:val="14"/>
                <w:b w:val="1"/>
                <w:bCs w:val="1"/>
                <w:color w:val="60BAFF"/>
                <w:w w:val="92"/>
              </w:rPr>
              <w:t>($)</w:t>
            </w:r>
            <w:r>
              <w:rPr>
                <w:rFonts w:ascii="Arial" w:cs="Arial" w:eastAsia="Arial" w:hAnsi="Arial"/>
                <w:sz w:val="24"/>
                <w:szCs w:val="24"/>
                <w:b w:val="1"/>
                <w:bCs w:val="1"/>
                <w:color w:val="60BAFF"/>
                <w:w w:val="92"/>
                <w:vertAlign w:val="superscript"/>
              </w:rPr>
              <w:t>(1)</w:t>
            </w:r>
          </w:p>
        </w:tc>
        <w:tc>
          <w:tcPr>
            <w:tcW w:w="1140" w:type="dxa"/>
            <w:vAlign w:val="bottom"/>
            <w:tcBorders>
              <w:bottom w:val="single" w:sz="8" w:color="60BAFF"/>
              <w:right w:val="single" w:sz="8" w:color="B2B2B2"/>
            </w:tcBorders>
          </w:tcPr>
          <w:p>
            <w:pPr>
              <w:jc w:val="center"/>
              <w:spacing w:after="0" w:line="257" w:lineRule="exact"/>
              <w:rPr>
                <w:sz w:val="20"/>
                <w:szCs w:val="20"/>
                <w:color w:val="auto"/>
              </w:rPr>
            </w:pPr>
            <w:r>
              <w:rPr>
                <w:rFonts w:ascii="Arial" w:cs="Arial" w:eastAsia="Arial" w:hAnsi="Arial"/>
                <w:sz w:val="14"/>
                <w:szCs w:val="14"/>
                <w:b w:val="1"/>
                <w:bCs w:val="1"/>
                <w:color w:val="60BAFF"/>
                <w:w w:val="87"/>
              </w:rPr>
              <w:t>($)</w:t>
            </w:r>
            <w:r>
              <w:rPr>
                <w:rFonts w:ascii="Arial" w:cs="Arial" w:eastAsia="Arial" w:hAnsi="Arial"/>
                <w:sz w:val="24"/>
                <w:szCs w:val="24"/>
                <w:b w:val="1"/>
                <w:bCs w:val="1"/>
                <w:color w:val="60BAFF"/>
                <w:w w:val="87"/>
                <w:vertAlign w:val="superscript"/>
              </w:rPr>
              <w:t>(1)</w:t>
            </w:r>
          </w:p>
        </w:tc>
        <w:tc>
          <w:tcPr>
            <w:tcW w:w="1360" w:type="dxa"/>
            <w:vAlign w:val="bottom"/>
            <w:tcBorders>
              <w:bottom w:val="single" w:sz="8" w:color="60BAFF"/>
              <w:right w:val="single" w:sz="8" w:color="B2B2B2"/>
            </w:tcBorders>
          </w:tcPr>
          <w:p>
            <w:pPr>
              <w:jc w:val="center"/>
              <w:spacing w:after="0" w:line="257" w:lineRule="exact"/>
              <w:rPr>
                <w:sz w:val="20"/>
                <w:szCs w:val="20"/>
                <w:color w:val="auto"/>
              </w:rPr>
            </w:pPr>
            <w:r>
              <w:rPr>
                <w:rFonts w:ascii="Arial" w:cs="Arial" w:eastAsia="Arial" w:hAnsi="Arial"/>
                <w:sz w:val="14"/>
                <w:szCs w:val="14"/>
                <w:b w:val="1"/>
                <w:bCs w:val="1"/>
                <w:color w:val="60BAFF"/>
                <w:w w:val="87"/>
              </w:rPr>
              <w:t>($)</w:t>
            </w:r>
            <w:r>
              <w:rPr>
                <w:rFonts w:ascii="Arial" w:cs="Arial" w:eastAsia="Arial" w:hAnsi="Arial"/>
                <w:sz w:val="24"/>
                <w:szCs w:val="24"/>
                <w:b w:val="1"/>
                <w:bCs w:val="1"/>
                <w:color w:val="60BAFF"/>
                <w:w w:val="87"/>
                <w:vertAlign w:val="superscript"/>
              </w:rPr>
              <w:t>(2)</w:t>
            </w:r>
          </w:p>
        </w:tc>
        <w:tc>
          <w:tcPr>
            <w:tcW w:w="1340" w:type="dxa"/>
            <w:vAlign w:val="bottom"/>
            <w:tcBorders>
              <w:bottom w:val="single" w:sz="8" w:color="60BAFF"/>
              <w:right w:val="single" w:sz="8" w:color="B2B2B2"/>
            </w:tcBorders>
          </w:tcPr>
          <w:p>
            <w:pPr>
              <w:jc w:val="center"/>
              <w:spacing w:after="0" w:line="257" w:lineRule="exact"/>
              <w:rPr>
                <w:sz w:val="20"/>
                <w:szCs w:val="20"/>
                <w:color w:val="auto"/>
              </w:rPr>
            </w:pPr>
            <w:r>
              <w:rPr>
                <w:rFonts w:ascii="Arial" w:cs="Arial" w:eastAsia="Arial" w:hAnsi="Arial"/>
                <w:sz w:val="14"/>
                <w:szCs w:val="14"/>
                <w:b w:val="1"/>
                <w:bCs w:val="1"/>
                <w:color w:val="60BAFF"/>
                <w:w w:val="87"/>
              </w:rPr>
              <w:t>($)</w:t>
            </w:r>
            <w:r>
              <w:rPr>
                <w:rFonts w:ascii="Arial" w:cs="Arial" w:eastAsia="Arial" w:hAnsi="Arial"/>
                <w:sz w:val="24"/>
                <w:szCs w:val="24"/>
                <w:b w:val="1"/>
                <w:bCs w:val="1"/>
                <w:color w:val="60BAFF"/>
                <w:w w:val="87"/>
                <w:vertAlign w:val="superscript"/>
              </w:rPr>
              <w:t>(3)</w:t>
            </w:r>
          </w:p>
        </w:tc>
        <w:tc>
          <w:tcPr>
            <w:tcW w:w="1140" w:type="dxa"/>
            <w:vAlign w:val="bottom"/>
            <w:tcBorders>
              <w:bottom w:val="single" w:sz="8" w:color="60BAFF"/>
            </w:tcBorders>
          </w:tcPr>
          <w:p>
            <w:pPr>
              <w:jc w:val="right"/>
              <w:ind w:right="402"/>
              <w:spacing w:after="0"/>
              <w:rPr>
                <w:sz w:val="20"/>
                <w:szCs w:val="20"/>
                <w:color w:val="auto"/>
              </w:rPr>
            </w:pPr>
            <w:r>
              <w:rPr>
                <w:rFonts w:ascii="Arial" w:cs="Arial" w:eastAsia="Arial" w:hAnsi="Arial"/>
                <w:sz w:val="14"/>
                <w:szCs w:val="14"/>
                <w:b w:val="1"/>
                <w:bCs w:val="1"/>
                <w:color w:val="60BAFF"/>
              </w:rPr>
              <w:t>($)</w:t>
            </w:r>
          </w:p>
        </w:tc>
        <w:tc>
          <w:tcPr>
            <w:tcW w:w="0" w:type="dxa"/>
            <w:vAlign w:val="bottom"/>
          </w:tcPr>
          <w:p>
            <w:pPr>
              <w:spacing w:after="0"/>
              <w:rPr>
                <w:sz w:val="1"/>
                <w:szCs w:val="1"/>
                <w:color w:val="auto"/>
              </w:rPr>
            </w:pPr>
          </w:p>
        </w:tc>
      </w:tr>
      <w:tr>
        <w:trPr>
          <w:trHeight w:val="222"/>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Tim Chen</w:t>
            </w:r>
          </w:p>
        </w:tc>
        <w:tc>
          <w:tcPr>
            <w:tcW w:w="780" w:type="dxa"/>
            <w:vAlign w:val="bottom"/>
            <w:tcBorders>
              <w:right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right w:val="single" w:sz="8" w:color="B2B2B2"/>
            </w:tcBorders>
          </w:tcPr>
          <w:p>
            <w:pPr>
              <w:jc w:val="right"/>
              <w:ind w:right="142"/>
              <w:spacing w:after="0"/>
              <w:rPr>
                <w:sz w:val="20"/>
                <w:szCs w:val="20"/>
                <w:color w:val="auto"/>
              </w:rPr>
            </w:pPr>
            <w:r>
              <w:rPr>
                <w:rFonts w:ascii="Arial" w:cs="Arial" w:eastAsia="Arial" w:hAnsi="Arial"/>
                <w:sz w:val="16"/>
                <w:szCs w:val="16"/>
                <w:color w:val="auto"/>
              </w:rPr>
              <w:t>535,261</w:t>
            </w:r>
          </w:p>
        </w:tc>
        <w:tc>
          <w:tcPr>
            <w:tcW w:w="70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4,851,010</w:t>
            </w:r>
          </w:p>
        </w:tc>
        <w:tc>
          <w:tcPr>
            <w:tcW w:w="1360" w:type="dxa"/>
            <w:vAlign w:val="bottom"/>
            <w:tcBorders>
              <w:right w:val="single" w:sz="8" w:color="B2B2B2"/>
            </w:tcBorders>
          </w:tcPr>
          <w:p>
            <w:pPr>
              <w:jc w:val="right"/>
              <w:ind w:right="123"/>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13,825</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5,400,096</w:t>
            </w:r>
          </w:p>
        </w:tc>
        <w:tc>
          <w:tcPr>
            <w:tcW w:w="0" w:type="dxa"/>
            <w:vAlign w:val="bottom"/>
          </w:tcPr>
          <w:p>
            <w:pPr>
              <w:spacing w:after="0"/>
              <w:rPr>
                <w:sz w:val="1"/>
                <w:szCs w:val="1"/>
                <w:color w:val="auto"/>
              </w:rPr>
            </w:pPr>
          </w:p>
        </w:tc>
      </w:tr>
      <w:tr>
        <w:trPr>
          <w:trHeight w:val="189"/>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Chief Executive Officer and</w:t>
            </w:r>
          </w:p>
        </w:tc>
        <w:tc>
          <w:tcPr>
            <w:tcW w:w="780" w:type="dxa"/>
            <w:vAlign w:val="bottom"/>
            <w:tcBorders>
              <w:right w:val="single" w:sz="8" w:color="B2B2B2"/>
            </w:tcBorders>
            <w:vMerge w:val="restart"/>
          </w:tcPr>
          <w:p>
            <w:pPr>
              <w:jc w:val="right"/>
              <w:ind w:right="121"/>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right w:val="single" w:sz="8" w:color="B2B2B2"/>
            </w:tcBorders>
            <w:vMerge w:val="restart"/>
          </w:tcPr>
          <w:p>
            <w:pPr>
              <w:jc w:val="right"/>
              <w:ind w:right="142"/>
              <w:spacing w:after="0"/>
              <w:rPr>
                <w:sz w:val="20"/>
                <w:szCs w:val="20"/>
                <w:color w:val="auto"/>
              </w:rPr>
            </w:pPr>
            <w:r>
              <w:rPr>
                <w:rFonts w:ascii="Arial" w:cs="Arial" w:eastAsia="Arial" w:hAnsi="Arial"/>
                <w:sz w:val="16"/>
                <w:szCs w:val="16"/>
                <w:color w:val="auto"/>
              </w:rPr>
              <w:t>450,000</w:t>
            </w:r>
          </w:p>
        </w:tc>
        <w:tc>
          <w:tcPr>
            <w:tcW w:w="700" w:type="dxa"/>
            <w:vAlign w:val="bottom"/>
            <w:tcBorders>
              <w:right w:val="single" w:sz="8" w:color="B2B2B2"/>
            </w:tcBorders>
            <w:vMerge w:val="restart"/>
          </w:tcPr>
          <w:p>
            <w:pPr>
              <w:ind w:left="26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B2B2B2"/>
            </w:tcBorders>
            <w:vMerge w:val="restart"/>
          </w:tcPr>
          <w:p>
            <w:pPr>
              <w:jc w:val="right"/>
              <w:ind w:right="123"/>
              <w:spacing w:after="0"/>
              <w:rPr>
                <w:sz w:val="20"/>
                <w:szCs w:val="20"/>
                <w:color w:val="auto"/>
              </w:rPr>
            </w:pPr>
            <w:r>
              <w:rPr>
                <w:rFonts w:ascii="Arial" w:cs="Arial" w:eastAsia="Arial" w:hAnsi="Arial"/>
                <w:sz w:val="16"/>
                <w:szCs w:val="16"/>
                <w:color w:val="auto"/>
              </w:rPr>
              <w:t>70,390</w:t>
            </w:r>
          </w:p>
        </w:tc>
        <w:tc>
          <w:tcPr>
            <w:tcW w:w="134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13,198</w:t>
            </w:r>
          </w:p>
        </w:tc>
        <w:tc>
          <w:tcPr>
            <w:tcW w:w="1140" w:type="dxa"/>
            <w:vAlign w:val="bottom"/>
            <w:vMerge w:val="restart"/>
          </w:tcPr>
          <w:p>
            <w:pPr>
              <w:jc w:val="right"/>
              <w:ind w:right="102"/>
              <w:spacing w:after="0"/>
              <w:rPr>
                <w:sz w:val="20"/>
                <w:szCs w:val="20"/>
                <w:color w:val="auto"/>
              </w:rPr>
            </w:pPr>
            <w:r>
              <w:rPr>
                <w:rFonts w:ascii="Arial" w:cs="Arial" w:eastAsia="Arial" w:hAnsi="Arial"/>
                <w:sz w:val="16"/>
                <w:szCs w:val="16"/>
                <w:color w:val="auto"/>
              </w:rPr>
              <w:t>533,588</w:t>
            </w:r>
          </w:p>
        </w:tc>
        <w:tc>
          <w:tcPr>
            <w:tcW w:w="0" w:type="dxa"/>
            <w:vAlign w:val="bottom"/>
          </w:tcPr>
          <w:p>
            <w:pPr>
              <w:spacing w:after="0"/>
              <w:rPr>
                <w:sz w:val="1"/>
                <w:szCs w:val="1"/>
                <w:color w:val="auto"/>
              </w:rPr>
            </w:pPr>
          </w:p>
        </w:tc>
      </w:tr>
      <w:tr>
        <w:trPr>
          <w:trHeight w:val="215"/>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Chairman of the Board</w:t>
            </w:r>
          </w:p>
        </w:tc>
        <w:tc>
          <w:tcPr>
            <w:tcW w:w="780" w:type="dxa"/>
            <w:vAlign w:val="bottom"/>
            <w:tcBorders>
              <w:right w:val="single" w:sz="8" w:color="B2B2B2"/>
            </w:tcBorders>
            <w:vMerge w:val="continue"/>
          </w:tcPr>
          <w:p>
            <w:pPr>
              <w:spacing w:after="0"/>
              <w:rPr>
                <w:sz w:val="18"/>
                <w:szCs w:val="18"/>
                <w:color w:val="auto"/>
              </w:rPr>
            </w:pPr>
          </w:p>
        </w:tc>
        <w:tc>
          <w:tcPr>
            <w:tcW w:w="1040" w:type="dxa"/>
            <w:vAlign w:val="bottom"/>
            <w:tcBorders>
              <w:right w:val="single" w:sz="8" w:color="B2B2B2"/>
            </w:tcBorders>
            <w:vMerge w:val="continue"/>
          </w:tcPr>
          <w:p>
            <w:pPr>
              <w:spacing w:after="0"/>
              <w:rPr>
                <w:sz w:val="18"/>
                <w:szCs w:val="18"/>
                <w:color w:val="auto"/>
              </w:rPr>
            </w:pPr>
          </w:p>
        </w:tc>
        <w:tc>
          <w:tcPr>
            <w:tcW w:w="700" w:type="dxa"/>
            <w:vAlign w:val="bottom"/>
            <w:tcBorders>
              <w:right w:val="single" w:sz="8" w:color="B2B2B2"/>
            </w:tcBorders>
            <w:vMerge w:val="continue"/>
          </w:tcPr>
          <w:p>
            <w:pPr>
              <w:spacing w:after="0"/>
              <w:rPr>
                <w:sz w:val="18"/>
                <w:szCs w:val="18"/>
                <w:color w:val="auto"/>
              </w:rPr>
            </w:pPr>
          </w:p>
        </w:tc>
        <w:tc>
          <w:tcPr>
            <w:tcW w:w="1160" w:type="dxa"/>
            <w:vAlign w:val="bottom"/>
            <w:tcBorders>
              <w:right w:val="single" w:sz="8" w:color="B2B2B2"/>
            </w:tcBorders>
            <w:vMerge w:val="continue"/>
          </w:tcPr>
          <w:p>
            <w:pPr>
              <w:spacing w:after="0"/>
              <w:rPr>
                <w:sz w:val="18"/>
                <w:szCs w:val="18"/>
                <w:color w:val="auto"/>
              </w:rPr>
            </w:pPr>
          </w:p>
        </w:tc>
        <w:tc>
          <w:tcPr>
            <w:tcW w:w="1140" w:type="dxa"/>
            <w:vAlign w:val="bottom"/>
            <w:tcBorders>
              <w:right w:val="single" w:sz="8" w:color="B2B2B2"/>
            </w:tcBorders>
            <w:vMerge w:val="continue"/>
          </w:tcPr>
          <w:p>
            <w:pPr>
              <w:spacing w:after="0"/>
              <w:rPr>
                <w:sz w:val="18"/>
                <w:szCs w:val="18"/>
                <w:color w:val="auto"/>
              </w:rPr>
            </w:pPr>
          </w:p>
        </w:tc>
        <w:tc>
          <w:tcPr>
            <w:tcW w:w="1360" w:type="dxa"/>
            <w:vAlign w:val="bottom"/>
            <w:tcBorders>
              <w:right w:val="single" w:sz="8" w:color="B2B2B2"/>
            </w:tcBorders>
            <w:vMerge w:val="continue"/>
          </w:tcPr>
          <w:p>
            <w:pPr>
              <w:spacing w:after="0"/>
              <w:rPr>
                <w:sz w:val="18"/>
                <w:szCs w:val="18"/>
                <w:color w:val="auto"/>
              </w:rPr>
            </w:pPr>
          </w:p>
        </w:tc>
        <w:tc>
          <w:tcPr>
            <w:tcW w:w="1340" w:type="dxa"/>
            <w:vAlign w:val="bottom"/>
            <w:tcBorders>
              <w:right w:val="single" w:sz="8" w:color="B2B2B2"/>
            </w:tcBorders>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360" w:type="dxa"/>
            <w:vAlign w:val="bottom"/>
            <w:tcBorders>
              <w:right w:val="single" w:sz="8" w:color="B2B2B2"/>
            </w:tcBorders>
          </w:tcPr>
          <w:p>
            <w:pPr>
              <w:spacing w:after="0"/>
              <w:rPr>
                <w:sz w:val="6"/>
                <w:szCs w:val="6"/>
                <w:color w:val="auto"/>
              </w:rPr>
            </w:pPr>
          </w:p>
        </w:tc>
        <w:tc>
          <w:tcPr>
            <w:tcW w:w="780" w:type="dxa"/>
            <w:vAlign w:val="bottom"/>
            <w:tcBorders>
              <w:right w:val="single" w:sz="8" w:color="B2B2B2"/>
            </w:tcBorders>
          </w:tcPr>
          <w:p>
            <w:pPr>
              <w:spacing w:after="0"/>
              <w:rPr>
                <w:sz w:val="6"/>
                <w:szCs w:val="6"/>
                <w:color w:val="auto"/>
              </w:rPr>
            </w:pPr>
          </w:p>
        </w:tc>
        <w:tc>
          <w:tcPr>
            <w:tcW w:w="1040" w:type="dxa"/>
            <w:vAlign w:val="bottom"/>
            <w:tcBorders>
              <w:right w:val="single" w:sz="8" w:color="B2B2B2"/>
            </w:tcBorders>
          </w:tcPr>
          <w:p>
            <w:pPr>
              <w:spacing w:after="0"/>
              <w:rPr>
                <w:sz w:val="6"/>
                <w:szCs w:val="6"/>
                <w:color w:val="auto"/>
              </w:rPr>
            </w:pPr>
          </w:p>
        </w:tc>
        <w:tc>
          <w:tcPr>
            <w:tcW w:w="700" w:type="dxa"/>
            <w:vAlign w:val="bottom"/>
            <w:tcBorders>
              <w:right w:val="single" w:sz="8" w:color="B2B2B2"/>
            </w:tcBorders>
          </w:tcPr>
          <w:p>
            <w:pPr>
              <w:spacing w:after="0"/>
              <w:rPr>
                <w:sz w:val="6"/>
                <w:szCs w:val="6"/>
                <w:color w:val="auto"/>
              </w:rPr>
            </w:pPr>
          </w:p>
        </w:tc>
        <w:tc>
          <w:tcPr>
            <w:tcW w:w="1160" w:type="dxa"/>
            <w:vAlign w:val="bottom"/>
            <w:tcBorders>
              <w:right w:val="single" w:sz="8" w:color="B2B2B2"/>
            </w:tcBorders>
          </w:tcPr>
          <w:p>
            <w:pPr>
              <w:spacing w:after="0"/>
              <w:rPr>
                <w:sz w:val="6"/>
                <w:szCs w:val="6"/>
                <w:color w:val="auto"/>
              </w:rPr>
            </w:pPr>
          </w:p>
        </w:tc>
        <w:tc>
          <w:tcPr>
            <w:tcW w:w="1140" w:type="dxa"/>
            <w:vAlign w:val="bottom"/>
            <w:tcBorders>
              <w:right w:val="single" w:sz="8" w:color="B2B2B2"/>
            </w:tcBorders>
          </w:tcPr>
          <w:p>
            <w:pPr>
              <w:spacing w:after="0"/>
              <w:rPr>
                <w:sz w:val="6"/>
                <w:szCs w:val="6"/>
                <w:color w:val="auto"/>
              </w:rPr>
            </w:pPr>
          </w:p>
        </w:tc>
        <w:tc>
          <w:tcPr>
            <w:tcW w:w="1360" w:type="dxa"/>
            <w:vAlign w:val="bottom"/>
            <w:tcBorders>
              <w:right w:val="single" w:sz="8" w:color="B2B2B2"/>
            </w:tcBorders>
          </w:tcPr>
          <w:p>
            <w:pPr>
              <w:spacing w:after="0"/>
              <w:rPr>
                <w:sz w:val="6"/>
                <w:szCs w:val="6"/>
                <w:color w:val="auto"/>
              </w:rPr>
            </w:pPr>
          </w:p>
        </w:tc>
        <w:tc>
          <w:tcPr>
            <w:tcW w:w="1340" w:type="dxa"/>
            <w:vAlign w:val="bottom"/>
            <w:tcBorders>
              <w:right w:val="single" w:sz="8" w:color="B2B2B2"/>
            </w:tcBorders>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3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John Caine</w:t>
            </w:r>
          </w:p>
        </w:tc>
        <w:tc>
          <w:tcPr>
            <w:tcW w:w="780" w:type="dxa"/>
            <w:vAlign w:val="bottom"/>
            <w:tcBorders>
              <w:right w:val="single" w:sz="8" w:color="B2B2B2"/>
            </w:tcBorders>
            <w:shd w:val="clear" w:color="auto" w:fill="F2FFFF"/>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right w:val="single" w:sz="8" w:color="B2B2B2"/>
            </w:tcBorders>
            <w:shd w:val="clear" w:color="auto" w:fill="F2FFFF"/>
          </w:tcPr>
          <w:p>
            <w:pPr>
              <w:jc w:val="right"/>
              <w:spacing w:after="0" w:line="242" w:lineRule="exact"/>
              <w:rPr>
                <w:sz w:val="20"/>
                <w:szCs w:val="20"/>
                <w:color w:val="auto"/>
              </w:rPr>
            </w:pPr>
            <w:r>
              <w:rPr>
                <w:rFonts w:ascii="Arial" w:cs="Arial" w:eastAsia="Arial" w:hAnsi="Arial"/>
                <w:sz w:val="16"/>
                <w:szCs w:val="16"/>
                <w:color w:val="auto"/>
              </w:rPr>
              <w:t>12,760</w:t>
            </w:r>
            <w:r>
              <w:rPr>
                <w:rFonts w:ascii="Arial" w:cs="Arial" w:eastAsia="Arial" w:hAnsi="Arial"/>
                <w:sz w:val="27"/>
                <w:szCs w:val="27"/>
                <w:color w:val="auto"/>
                <w:vertAlign w:val="superscript"/>
              </w:rPr>
              <w:t>(4)</w:t>
            </w:r>
          </w:p>
        </w:tc>
        <w:tc>
          <w:tcPr>
            <w:tcW w:w="700" w:type="dxa"/>
            <w:vAlign w:val="bottom"/>
            <w:tcBorders>
              <w:right w:val="single" w:sz="8" w:color="B2B2B2"/>
            </w:tcBorders>
            <w:shd w:val="clear" w:color="auto" w:fill="F2FFFF"/>
          </w:tcPr>
          <w:p>
            <w:pPr>
              <w:ind w:left="26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(5)</w:t>
            </w:r>
          </w:p>
        </w:tc>
        <w:tc>
          <w:tcPr>
            <w:tcW w:w="1160" w:type="dxa"/>
            <w:vAlign w:val="bottom"/>
            <w:tcBorders>
              <w:right w:val="single" w:sz="8" w:color="B2B2B2"/>
            </w:tcBorders>
            <w:shd w:val="clear" w:color="auto" w:fill="F2FFFF"/>
          </w:tcPr>
          <w:p>
            <w:pPr>
              <w:jc w:val="right"/>
              <w:ind w:right="122"/>
              <w:spacing w:after="0"/>
              <w:rPr>
                <w:sz w:val="20"/>
                <w:szCs w:val="20"/>
                <w:color w:val="auto"/>
              </w:rPr>
            </w:pPr>
            <w:r>
              <w:rPr>
                <w:rFonts w:ascii="Arial" w:cs="Arial" w:eastAsia="Arial" w:hAnsi="Arial"/>
                <w:sz w:val="16"/>
                <w:szCs w:val="16"/>
                <w:color w:val="auto"/>
              </w:rPr>
              <w:t>2,511,005</w:t>
            </w:r>
          </w:p>
        </w:tc>
        <w:tc>
          <w:tcPr>
            <w:tcW w:w="1140" w:type="dxa"/>
            <w:vAlign w:val="bottom"/>
            <w:tcBorders>
              <w:right w:val="single" w:sz="8" w:color="B2B2B2"/>
            </w:tcBorders>
            <w:shd w:val="clear" w:color="auto" w:fill="F2FFFF"/>
          </w:tcPr>
          <w:p>
            <w:pPr>
              <w:jc w:val="right"/>
              <w:ind w:right="122"/>
              <w:spacing w:after="0"/>
              <w:rPr>
                <w:sz w:val="20"/>
                <w:szCs w:val="20"/>
                <w:color w:val="auto"/>
              </w:rPr>
            </w:pPr>
            <w:r>
              <w:rPr>
                <w:rFonts w:ascii="Arial" w:cs="Arial" w:eastAsia="Arial" w:hAnsi="Arial"/>
                <w:sz w:val="16"/>
                <w:szCs w:val="16"/>
                <w:color w:val="auto"/>
              </w:rPr>
              <w:t>2,031,520</w:t>
            </w:r>
          </w:p>
        </w:tc>
        <w:tc>
          <w:tcPr>
            <w:tcW w:w="1360" w:type="dxa"/>
            <w:vAlign w:val="bottom"/>
            <w:tcBorders>
              <w:right w:val="single" w:sz="8" w:color="B2B2B2"/>
            </w:tcBorders>
            <w:shd w:val="clear" w:color="auto" w:fill="F2FFFF"/>
          </w:tcPr>
          <w:p>
            <w:pPr>
              <w:jc w:val="right"/>
              <w:ind w:right="123"/>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B2B2B2"/>
            </w:tcBorders>
            <w:shd w:val="clear" w:color="auto" w:fill="F2FFFF"/>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F2FFFF"/>
          </w:tcPr>
          <w:p>
            <w:pPr>
              <w:jc w:val="right"/>
              <w:ind w:right="102"/>
              <w:spacing w:after="0"/>
              <w:rPr>
                <w:sz w:val="20"/>
                <w:szCs w:val="20"/>
                <w:color w:val="auto"/>
              </w:rPr>
            </w:pPr>
            <w:r>
              <w:rPr>
                <w:rFonts w:ascii="Arial" w:cs="Arial" w:eastAsia="Arial" w:hAnsi="Arial"/>
                <w:sz w:val="16"/>
                <w:szCs w:val="16"/>
                <w:color w:val="auto"/>
              </w:rPr>
              <w:t>4,555,285</w:t>
            </w:r>
          </w:p>
        </w:tc>
        <w:tc>
          <w:tcPr>
            <w:tcW w:w="0" w:type="dxa"/>
            <w:vAlign w:val="bottom"/>
          </w:tcPr>
          <w:p>
            <w:pPr>
              <w:spacing w:after="0"/>
              <w:rPr>
                <w:sz w:val="1"/>
                <w:szCs w:val="1"/>
                <w:color w:val="auto"/>
              </w:rPr>
            </w:pPr>
          </w:p>
        </w:tc>
      </w:tr>
      <w:tr>
        <w:trPr>
          <w:trHeight w:val="215"/>
        </w:trPr>
        <w:tc>
          <w:tcPr>
            <w:tcW w:w="23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color w:val="auto"/>
              </w:rPr>
              <w:t>Chief Product Officer</w:t>
            </w:r>
          </w:p>
        </w:tc>
        <w:tc>
          <w:tcPr>
            <w:tcW w:w="780" w:type="dxa"/>
            <w:vAlign w:val="bottom"/>
            <w:tcBorders>
              <w:right w:val="single" w:sz="8" w:color="B2B2B2"/>
            </w:tcBorders>
            <w:shd w:val="clear" w:color="auto" w:fill="F2FFFF"/>
          </w:tcPr>
          <w:p>
            <w:pPr>
              <w:spacing w:after="0"/>
              <w:rPr>
                <w:sz w:val="18"/>
                <w:szCs w:val="18"/>
                <w:color w:val="auto"/>
              </w:rPr>
            </w:pPr>
          </w:p>
        </w:tc>
        <w:tc>
          <w:tcPr>
            <w:tcW w:w="1040" w:type="dxa"/>
            <w:vAlign w:val="bottom"/>
            <w:tcBorders>
              <w:right w:val="single" w:sz="8" w:color="B2B2B2"/>
            </w:tcBorders>
            <w:shd w:val="clear" w:color="auto" w:fill="F2FFFF"/>
          </w:tcPr>
          <w:p>
            <w:pPr>
              <w:spacing w:after="0"/>
              <w:rPr>
                <w:sz w:val="18"/>
                <w:szCs w:val="18"/>
                <w:color w:val="auto"/>
              </w:rPr>
            </w:pPr>
          </w:p>
        </w:tc>
        <w:tc>
          <w:tcPr>
            <w:tcW w:w="700" w:type="dxa"/>
            <w:vAlign w:val="bottom"/>
            <w:tcBorders>
              <w:right w:val="single" w:sz="8" w:color="B2B2B2"/>
            </w:tcBorders>
            <w:shd w:val="clear" w:color="auto" w:fill="F2FFFF"/>
          </w:tcPr>
          <w:p>
            <w:pPr>
              <w:spacing w:after="0"/>
              <w:rPr>
                <w:sz w:val="18"/>
                <w:szCs w:val="18"/>
                <w:color w:val="auto"/>
              </w:rPr>
            </w:pPr>
          </w:p>
        </w:tc>
        <w:tc>
          <w:tcPr>
            <w:tcW w:w="1160" w:type="dxa"/>
            <w:vAlign w:val="bottom"/>
            <w:tcBorders>
              <w:right w:val="single" w:sz="8" w:color="B2B2B2"/>
            </w:tcBorders>
            <w:shd w:val="clear" w:color="auto" w:fill="F2FFFF"/>
          </w:tcPr>
          <w:p>
            <w:pPr>
              <w:spacing w:after="0"/>
              <w:rPr>
                <w:sz w:val="18"/>
                <w:szCs w:val="18"/>
                <w:color w:val="auto"/>
              </w:rPr>
            </w:pPr>
          </w:p>
        </w:tc>
        <w:tc>
          <w:tcPr>
            <w:tcW w:w="1140" w:type="dxa"/>
            <w:vAlign w:val="bottom"/>
            <w:tcBorders>
              <w:right w:val="single" w:sz="8" w:color="B2B2B2"/>
            </w:tcBorders>
            <w:shd w:val="clear" w:color="auto" w:fill="F2FFFF"/>
          </w:tcPr>
          <w:p>
            <w:pPr>
              <w:spacing w:after="0"/>
              <w:rPr>
                <w:sz w:val="18"/>
                <w:szCs w:val="18"/>
                <w:color w:val="auto"/>
              </w:rPr>
            </w:pPr>
          </w:p>
        </w:tc>
        <w:tc>
          <w:tcPr>
            <w:tcW w:w="1360" w:type="dxa"/>
            <w:vAlign w:val="bottom"/>
            <w:tcBorders>
              <w:right w:val="single" w:sz="8" w:color="B2B2B2"/>
            </w:tcBorders>
            <w:shd w:val="clear" w:color="auto" w:fill="F2FFFF"/>
          </w:tcPr>
          <w:p>
            <w:pPr>
              <w:spacing w:after="0"/>
              <w:rPr>
                <w:sz w:val="18"/>
                <w:szCs w:val="18"/>
                <w:color w:val="auto"/>
              </w:rPr>
            </w:pPr>
          </w:p>
        </w:tc>
        <w:tc>
          <w:tcPr>
            <w:tcW w:w="1340" w:type="dxa"/>
            <w:vAlign w:val="bottom"/>
            <w:tcBorders>
              <w:right w:val="single" w:sz="8" w:color="B2B2B2"/>
            </w:tcBorders>
            <w:shd w:val="clear" w:color="auto" w:fill="F2FFFF"/>
          </w:tcPr>
          <w:p>
            <w:pPr>
              <w:spacing w:after="0"/>
              <w:rPr>
                <w:sz w:val="18"/>
                <w:szCs w:val="18"/>
                <w:color w:val="auto"/>
              </w:rPr>
            </w:pPr>
          </w:p>
        </w:tc>
        <w:tc>
          <w:tcPr>
            <w:tcW w:w="1140" w:type="dxa"/>
            <w:vAlign w:val="bottom"/>
            <w:shd w:val="clear" w:color="auto" w:fill="F2FFFF"/>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360" w:type="dxa"/>
            <w:vAlign w:val="bottom"/>
            <w:tcBorders>
              <w:right w:val="single" w:sz="8" w:color="B2B2B2"/>
            </w:tcBorders>
            <w:shd w:val="clear" w:color="auto" w:fill="F2FFFF"/>
          </w:tcPr>
          <w:p>
            <w:pPr>
              <w:spacing w:after="0"/>
              <w:rPr>
                <w:sz w:val="6"/>
                <w:szCs w:val="6"/>
                <w:color w:val="auto"/>
              </w:rPr>
            </w:pPr>
          </w:p>
        </w:tc>
        <w:tc>
          <w:tcPr>
            <w:tcW w:w="780" w:type="dxa"/>
            <w:vAlign w:val="bottom"/>
            <w:tcBorders>
              <w:right w:val="single" w:sz="8" w:color="B2B2B2"/>
            </w:tcBorders>
            <w:shd w:val="clear" w:color="auto" w:fill="F2FFFF"/>
          </w:tcPr>
          <w:p>
            <w:pPr>
              <w:spacing w:after="0"/>
              <w:rPr>
                <w:sz w:val="6"/>
                <w:szCs w:val="6"/>
                <w:color w:val="auto"/>
              </w:rPr>
            </w:pPr>
          </w:p>
        </w:tc>
        <w:tc>
          <w:tcPr>
            <w:tcW w:w="1040" w:type="dxa"/>
            <w:vAlign w:val="bottom"/>
            <w:tcBorders>
              <w:right w:val="single" w:sz="8" w:color="B2B2B2"/>
            </w:tcBorders>
            <w:shd w:val="clear" w:color="auto" w:fill="F2FFFF"/>
          </w:tcPr>
          <w:p>
            <w:pPr>
              <w:spacing w:after="0"/>
              <w:rPr>
                <w:sz w:val="6"/>
                <w:szCs w:val="6"/>
                <w:color w:val="auto"/>
              </w:rPr>
            </w:pPr>
          </w:p>
        </w:tc>
        <w:tc>
          <w:tcPr>
            <w:tcW w:w="700" w:type="dxa"/>
            <w:vAlign w:val="bottom"/>
            <w:tcBorders>
              <w:right w:val="single" w:sz="8" w:color="B2B2B2"/>
            </w:tcBorders>
            <w:shd w:val="clear" w:color="auto" w:fill="F2FFFF"/>
          </w:tcPr>
          <w:p>
            <w:pPr>
              <w:spacing w:after="0"/>
              <w:rPr>
                <w:sz w:val="6"/>
                <w:szCs w:val="6"/>
                <w:color w:val="auto"/>
              </w:rPr>
            </w:pPr>
          </w:p>
        </w:tc>
        <w:tc>
          <w:tcPr>
            <w:tcW w:w="1160" w:type="dxa"/>
            <w:vAlign w:val="bottom"/>
            <w:tcBorders>
              <w:right w:val="single" w:sz="8" w:color="B2B2B2"/>
            </w:tcBorders>
            <w:shd w:val="clear" w:color="auto" w:fill="F2FFFF"/>
          </w:tcPr>
          <w:p>
            <w:pPr>
              <w:spacing w:after="0"/>
              <w:rPr>
                <w:sz w:val="6"/>
                <w:szCs w:val="6"/>
                <w:color w:val="auto"/>
              </w:rPr>
            </w:pPr>
          </w:p>
        </w:tc>
        <w:tc>
          <w:tcPr>
            <w:tcW w:w="1140" w:type="dxa"/>
            <w:vAlign w:val="bottom"/>
            <w:tcBorders>
              <w:right w:val="single" w:sz="8" w:color="B2B2B2"/>
            </w:tcBorders>
            <w:shd w:val="clear" w:color="auto" w:fill="F2FFFF"/>
          </w:tcPr>
          <w:p>
            <w:pPr>
              <w:spacing w:after="0"/>
              <w:rPr>
                <w:sz w:val="6"/>
                <w:szCs w:val="6"/>
                <w:color w:val="auto"/>
              </w:rPr>
            </w:pPr>
          </w:p>
        </w:tc>
        <w:tc>
          <w:tcPr>
            <w:tcW w:w="1360" w:type="dxa"/>
            <w:vAlign w:val="bottom"/>
            <w:tcBorders>
              <w:right w:val="single" w:sz="8" w:color="B2B2B2"/>
            </w:tcBorders>
            <w:shd w:val="clear" w:color="auto" w:fill="F2FFFF"/>
          </w:tcPr>
          <w:p>
            <w:pPr>
              <w:spacing w:after="0"/>
              <w:rPr>
                <w:sz w:val="6"/>
                <w:szCs w:val="6"/>
                <w:color w:val="auto"/>
              </w:rPr>
            </w:pPr>
          </w:p>
        </w:tc>
        <w:tc>
          <w:tcPr>
            <w:tcW w:w="1340" w:type="dxa"/>
            <w:vAlign w:val="bottom"/>
            <w:tcBorders>
              <w:right w:val="single" w:sz="8" w:color="B2B2B2"/>
            </w:tcBorders>
            <w:shd w:val="clear" w:color="auto" w:fill="F2FFFF"/>
          </w:tcPr>
          <w:p>
            <w:pPr>
              <w:spacing w:after="0"/>
              <w:rPr>
                <w:sz w:val="6"/>
                <w:szCs w:val="6"/>
                <w:color w:val="auto"/>
              </w:rPr>
            </w:pPr>
          </w:p>
        </w:tc>
        <w:tc>
          <w:tcPr>
            <w:tcW w:w="1140" w:type="dxa"/>
            <w:vAlign w:val="bottom"/>
            <w:shd w:val="clear" w:color="auto" w:fill="F2FFFF"/>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Kelly Gillease</w:t>
            </w:r>
          </w:p>
        </w:tc>
        <w:tc>
          <w:tcPr>
            <w:tcW w:w="780" w:type="dxa"/>
            <w:vAlign w:val="bottom"/>
            <w:tcBorders>
              <w:right w:val="single" w:sz="8" w:color="B2B2B2"/>
            </w:tcBorders>
          </w:tcPr>
          <w:p>
            <w:pPr>
              <w:jc w:val="right"/>
              <w:ind w:right="121"/>
              <w:spacing w:after="0"/>
              <w:rPr>
                <w:sz w:val="20"/>
                <w:szCs w:val="20"/>
                <w:color w:val="auto"/>
              </w:rPr>
            </w:pPr>
            <w:r>
              <w:rPr>
                <w:rFonts w:ascii="Arial" w:cs="Arial" w:eastAsia="Arial" w:hAnsi="Arial"/>
                <w:sz w:val="16"/>
                <w:szCs w:val="16"/>
                <w:b w:val="1"/>
                <w:bCs w:val="1"/>
                <w:color w:val="auto"/>
              </w:rPr>
              <w:t>2021</w:t>
            </w:r>
          </w:p>
        </w:tc>
        <w:tc>
          <w:tcPr>
            <w:tcW w:w="1040" w:type="dxa"/>
            <w:vAlign w:val="bottom"/>
            <w:tcBorders>
              <w:right w:val="single" w:sz="8" w:color="B2B2B2"/>
            </w:tcBorders>
          </w:tcPr>
          <w:p>
            <w:pPr>
              <w:jc w:val="right"/>
              <w:ind w:right="142"/>
              <w:spacing w:after="0"/>
              <w:rPr>
                <w:sz w:val="20"/>
                <w:szCs w:val="20"/>
                <w:color w:val="auto"/>
              </w:rPr>
            </w:pPr>
            <w:r>
              <w:rPr>
                <w:rFonts w:ascii="Arial" w:cs="Arial" w:eastAsia="Arial" w:hAnsi="Arial"/>
                <w:sz w:val="16"/>
                <w:szCs w:val="16"/>
                <w:color w:val="auto"/>
              </w:rPr>
              <w:t>466,250</w:t>
            </w:r>
          </w:p>
        </w:tc>
        <w:tc>
          <w:tcPr>
            <w:tcW w:w="700" w:type="dxa"/>
            <w:vAlign w:val="bottom"/>
            <w:tcBorders>
              <w:right w:val="single" w:sz="8" w:color="B2B2B2"/>
            </w:tcBorders>
          </w:tcPr>
          <w:p>
            <w:pPr>
              <w:ind w:left="26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1,837,670</w:t>
            </w:r>
          </w:p>
        </w:tc>
        <w:tc>
          <w:tcPr>
            <w:tcW w:w="11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448,492</w:t>
            </w:r>
          </w:p>
        </w:tc>
        <w:tc>
          <w:tcPr>
            <w:tcW w:w="1360" w:type="dxa"/>
            <w:vAlign w:val="bottom"/>
            <w:tcBorders>
              <w:right w:val="single" w:sz="8" w:color="B2B2B2"/>
            </w:tcBorders>
          </w:tcPr>
          <w:p>
            <w:pPr>
              <w:jc w:val="right"/>
              <w:ind w:right="123"/>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13,565</w:t>
            </w: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2,765,977</w:t>
            </w:r>
          </w:p>
        </w:tc>
        <w:tc>
          <w:tcPr>
            <w:tcW w:w="0" w:type="dxa"/>
            <w:vAlign w:val="bottom"/>
          </w:tcPr>
          <w:p>
            <w:pPr>
              <w:spacing w:after="0"/>
              <w:rPr>
                <w:sz w:val="1"/>
                <w:szCs w:val="1"/>
                <w:color w:val="auto"/>
              </w:rPr>
            </w:pPr>
          </w:p>
        </w:tc>
      </w:tr>
      <w:tr>
        <w:trPr>
          <w:trHeight w:val="215"/>
        </w:trPr>
        <w:tc>
          <w:tcPr>
            <w:tcW w:w="236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Chief Marketing Officer</w:t>
            </w:r>
          </w:p>
        </w:tc>
        <w:tc>
          <w:tcPr>
            <w:tcW w:w="780" w:type="dxa"/>
            <w:vAlign w:val="bottom"/>
            <w:tcBorders>
              <w:right w:val="single" w:sz="8" w:color="B2B2B2"/>
            </w:tcBorders>
            <w:vMerge w:val="restart"/>
          </w:tcPr>
          <w:p>
            <w:pPr>
              <w:jc w:val="right"/>
              <w:ind w:right="121"/>
              <w:spacing w:after="0"/>
              <w:rPr>
                <w:sz w:val="20"/>
                <w:szCs w:val="20"/>
                <w:color w:val="auto"/>
              </w:rPr>
            </w:pPr>
            <w:r>
              <w:rPr>
                <w:rFonts w:ascii="Arial" w:cs="Arial" w:eastAsia="Arial" w:hAnsi="Arial"/>
                <w:sz w:val="16"/>
                <w:szCs w:val="16"/>
                <w:b w:val="1"/>
                <w:bCs w:val="1"/>
                <w:color w:val="auto"/>
              </w:rPr>
              <w:t>2020</w:t>
            </w:r>
          </w:p>
        </w:tc>
        <w:tc>
          <w:tcPr>
            <w:tcW w:w="1040" w:type="dxa"/>
            <w:vAlign w:val="bottom"/>
            <w:tcBorders>
              <w:right w:val="single" w:sz="8" w:color="B2B2B2"/>
            </w:tcBorders>
            <w:vMerge w:val="restart"/>
          </w:tcPr>
          <w:p>
            <w:pPr>
              <w:jc w:val="right"/>
              <w:ind w:right="142"/>
              <w:spacing w:after="0"/>
              <w:rPr>
                <w:sz w:val="20"/>
                <w:szCs w:val="20"/>
                <w:color w:val="auto"/>
              </w:rPr>
            </w:pPr>
            <w:r>
              <w:rPr>
                <w:rFonts w:ascii="Arial" w:cs="Arial" w:eastAsia="Arial" w:hAnsi="Arial"/>
                <w:sz w:val="16"/>
                <w:szCs w:val="16"/>
                <w:color w:val="auto"/>
              </w:rPr>
              <w:t>453,333</w:t>
            </w:r>
          </w:p>
        </w:tc>
        <w:tc>
          <w:tcPr>
            <w:tcW w:w="700" w:type="dxa"/>
            <w:vAlign w:val="bottom"/>
            <w:tcBorders>
              <w:right w:val="single" w:sz="8" w:color="B2B2B2"/>
            </w:tcBorders>
          </w:tcPr>
          <w:p>
            <w:pPr>
              <w:spacing w:after="0"/>
              <w:rPr>
                <w:sz w:val="18"/>
                <w:szCs w:val="18"/>
                <w:color w:val="auto"/>
              </w:rPr>
            </w:pPr>
          </w:p>
        </w:tc>
        <w:tc>
          <w:tcPr>
            <w:tcW w:w="116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w:t>
            </w:r>
          </w:p>
        </w:tc>
        <w:tc>
          <w:tcPr>
            <w:tcW w:w="1360" w:type="dxa"/>
            <w:vAlign w:val="bottom"/>
            <w:tcBorders>
              <w:right w:val="single" w:sz="8" w:color="B2B2B2"/>
            </w:tcBorders>
            <w:vMerge w:val="restart"/>
          </w:tcPr>
          <w:p>
            <w:pPr>
              <w:jc w:val="right"/>
              <w:ind w:right="123"/>
              <w:spacing w:after="0"/>
              <w:rPr>
                <w:sz w:val="20"/>
                <w:szCs w:val="20"/>
                <w:color w:val="auto"/>
              </w:rPr>
            </w:pPr>
            <w:r>
              <w:rPr>
                <w:rFonts w:ascii="Arial" w:cs="Arial" w:eastAsia="Arial" w:hAnsi="Arial"/>
                <w:sz w:val="16"/>
                <w:szCs w:val="16"/>
                <w:color w:val="auto"/>
              </w:rPr>
              <w:t>55,713</w:t>
            </w:r>
          </w:p>
        </w:tc>
        <w:tc>
          <w:tcPr>
            <w:tcW w:w="1340" w:type="dxa"/>
            <w:vAlign w:val="bottom"/>
            <w:tcBorders>
              <w:right w:val="single" w:sz="8" w:color="B2B2B2"/>
            </w:tcBorders>
            <w:vMerge w:val="restart"/>
          </w:tcPr>
          <w:p>
            <w:pPr>
              <w:jc w:val="right"/>
              <w:ind w:right="122"/>
              <w:spacing w:after="0"/>
              <w:rPr>
                <w:sz w:val="20"/>
                <w:szCs w:val="20"/>
                <w:color w:val="auto"/>
              </w:rPr>
            </w:pPr>
            <w:r>
              <w:rPr>
                <w:rFonts w:ascii="Arial" w:cs="Arial" w:eastAsia="Arial" w:hAnsi="Arial"/>
                <w:sz w:val="16"/>
                <w:szCs w:val="16"/>
                <w:color w:val="auto"/>
              </w:rPr>
              <w:t>13,480</w:t>
            </w:r>
          </w:p>
        </w:tc>
        <w:tc>
          <w:tcPr>
            <w:tcW w:w="1140" w:type="dxa"/>
            <w:vAlign w:val="bottom"/>
            <w:vMerge w:val="restart"/>
          </w:tcPr>
          <w:p>
            <w:pPr>
              <w:jc w:val="right"/>
              <w:ind w:right="102"/>
              <w:spacing w:after="0"/>
              <w:rPr>
                <w:sz w:val="20"/>
                <w:szCs w:val="20"/>
                <w:color w:val="auto"/>
              </w:rPr>
            </w:pPr>
            <w:r>
              <w:rPr>
                <w:rFonts w:ascii="Arial" w:cs="Arial" w:eastAsia="Arial" w:hAnsi="Arial"/>
                <w:sz w:val="16"/>
                <w:szCs w:val="16"/>
                <w:color w:val="auto"/>
              </w:rPr>
              <w:t>522,526</w:t>
            </w:r>
          </w:p>
        </w:tc>
        <w:tc>
          <w:tcPr>
            <w:tcW w:w="0" w:type="dxa"/>
            <w:vAlign w:val="bottom"/>
          </w:tcPr>
          <w:p>
            <w:pPr>
              <w:spacing w:after="0"/>
              <w:rPr>
                <w:sz w:val="1"/>
                <w:szCs w:val="1"/>
                <w:color w:val="auto"/>
              </w:rPr>
            </w:pPr>
          </w:p>
        </w:tc>
      </w:tr>
      <w:tr>
        <w:trPr>
          <w:trHeight w:val="75"/>
        </w:trPr>
        <w:tc>
          <w:tcPr>
            <w:tcW w:w="2360" w:type="dxa"/>
            <w:vAlign w:val="bottom"/>
            <w:tcBorders>
              <w:right w:val="single" w:sz="8" w:color="B2B2B2"/>
            </w:tcBorders>
          </w:tcPr>
          <w:p>
            <w:pPr>
              <w:spacing w:after="0"/>
              <w:rPr>
                <w:sz w:val="6"/>
                <w:szCs w:val="6"/>
                <w:color w:val="auto"/>
              </w:rPr>
            </w:pPr>
          </w:p>
        </w:tc>
        <w:tc>
          <w:tcPr>
            <w:tcW w:w="780" w:type="dxa"/>
            <w:vAlign w:val="bottom"/>
            <w:tcBorders>
              <w:right w:val="single" w:sz="8" w:color="B2B2B2"/>
            </w:tcBorders>
            <w:vMerge w:val="continue"/>
          </w:tcPr>
          <w:p>
            <w:pPr>
              <w:spacing w:after="0"/>
              <w:rPr>
                <w:sz w:val="6"/>
                <w:szCs w:val="6"/>
                <w:color w:val="auto"/>
              </w:rPr>
            </w:pPr>
          </w:p>
        </w:tc>
        <w:tc>
          <w:tcPr>
            <w:tcW w:w="1040" w:type="dxa"/>
            <w:vAlign w:val="bottom"/>
            <w:tcBorders>
              <w:right w:val="single" w:sz="8" w:color="B2B2B2"/>
            </w:tcBorders>
            <w:vMerge w:val="continue"/>
          </w:tcPr>
          <w:p>
            <w:pPr>
              <w:spacing w:after="0"/>
              <w:rPr>
                <w:sz w:val="6"/>
                <w:szCs w:val="6"/>
                <w:color w:val="auto"/>
              </w:rPr>
            </w:pPr>
          </w:p>
        </w:tc>
        <w:tc>
          <w:tcPr>
            <w:tcW w:w="700" w:type="dxa"/>
            <w:vAlign w:val="bottom"/>
            <w:tcBorders>
              <w:right w:val="single" w:sz="8" w:color="B2B2B2"/>
            </w:tcBorders>
          </w:tcPr>
          <w:p>
            <w:pPr>
              <w:spacing w:after="0"/>
              <w:rPr>
                <w:sz w:val="6"/>
                <w:szCs w:val="6"/>
                <w:color w:val="auto"/>
              </w:rPr>
            </w:pPr>
          </w:p>
        </w:tc>
        <w:tc>
          <w:tcPr>
            <w:tcW w:w="1160" w:type="dxa"/>
            <w:vAlign w:val="bottom"/>
            <w:tcBorders>
              <w:right w:val="single" w:sz="8" w:color="B2B2B2"/>
            </w:tcBorders>
            <w:vMerge w:val="continue"/>
          </w:tcPr>
          <w:p>
            <w:pPr>
              <w:spacing w:after="0"/>
              <w:rPr>
                <w:sz w:val="6"/>
                <w:szCs w:val="6"/>
                <w:color w:val="auto"/>
              </w:rPr>
            </w:pPr>
          </w:p>
        </w:tc>
        <w:tc>
          <w:tcPr>
            <w:tcW w:w="1140" w:type="dxa"/>
            <w:vAlign w:val="bottom"/>
            <w:tcBorders>
              <w:right w:val="single" w:sz="8" w:color="B2B2B2"/>
            </w:tcBorders>
            <w:vMerge w:val="continue"/>
          </w:tcPr>
          <w:p>
            <w:pPr>
              <w:spacing w:after="0"/>
              <w:rPr>
                <w:sz w:val="6"/>
                <w:szCs w:val="6"/>
                <w:color w:val="auto"/>
              </w:rPr>
            </w:pPr>
          </w:p>
        </w:tc>
        <w:tc>
          <w:tcPr>
            <w:tcW w:w="1360" w:type="dxa"/>
            <w:vAlign w:val="bottom"/>
            <w:tcBorders>
              <w:right w:val="single" w:sz="8" w:color="B2B2B2"/>
            </w:tcBorders>
            <w:vMerge w:val="continue"/>
          </w:tcPr>
          <w:p>
            <w:pPr>
              <w:spacing w:after="0"/>
              <w:rPr>
                <w:sz w:val="6"/>
                <w:szCs w:val="6"/>
                <w:color w:val="auto"/>
              </w:rPr>
            </w:pPr>
          </w:p>
        </w:tc>
        <w:tc>
          <w:tcPr>
            <w:tcW w:w="1340" w:type="dxa"/>
            <w:vAlign w:val="bottom"/>
            <w:tcBorders>
              <w:right w:val="single" w:sz="8" w:color="B2B2B2"/>
            </w:tcBorders>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360" w:type="dxa"/>
            <w:vAlign w:val="bottom"/>
            <w:tcBorders>
              <w:bottom w:val="single" w:sz="8" w:color="B2B2B2"/>
              <w:right w:val="single" w:sz="8" w:color="B2B2B2"/>
            </w:tcBorders>
          </w:tcPr>
          <w:p>
            <w:pPr>
              <w:spacing w:after="0"/>
              <w:rPr>
                <w:sz w:val="4"/>
                <w:szCs w:val="4"/>
                <w:color w:val="auto"/>
              </w:rPr>
            </w:pPr>
          </w:p>
        </w:tc>
        <w:tc>
          <w:tcPr>
            <w:tcW w:w="780" w:type="dxa"/>
            <w:vAlign w:val="bottom"/>
            <w:tcBorders>
              <w:bottom w:val="single" w:sz="8" w:color="B2B2B2"/>
              <w:right w:val="single" w:sz="8" w:color="B2B2B2"/>
            </w:tcBorders>
          </w:tcPr>
          <w:p>
            <w:pPr>
              <w:spacing w:after="0"/>
              <w:rPr>
                <w:sz w:val="4"/>
                <w:szCs w:val="4"/>
                <w:color w:val="auto"/>
              </w:rPr>
            </w:pPr>
          </w:p>
        </w:tc>
        <w:tc>
          <w:tcPr>
            <w:tcW w:w="1040" w:type="dxa"/>
            <w:vAlign w:val="bottom"/>
            <w:tcBorders>
              <w:bottom w:val="single" w:sz="8" w:color="B2B2B2"/>
              <w:right w:val="single" w:sz="8" w:color="B2B2B2"/>
            </w:tcBorders>
          </w:tcPr>
          <w:p>
            <w:pPr>
              <w:spacing w:after="0"/>
              <w:rPr>
                <w:sz w:val="4"/>
                <w:szCs w:val="4"/>
                <w:color w:val="auto"/>
              </w:rPr>
            </w:pPr>
          </w:p>
        </w:tc>
        <w:tc>
          <w:tcPr>
            <w:tcW w:w="700" w:type="dxa"/>
            <w:vAlign w:val="bottom"/>
            <w:tcBorders>
              <w:bottom w:val="single" w:sz="8" w:color="B2B2B2"/>
              <w:right w:val="single" w:sz="8" w:color="B2B2B2"/>
            </w:tcBorders>
          </w:tcPr>
          <w:p>
            <w:pPr>
              <w:spacing w:after="0"/>
              <w:rPr>
                <w:sz w:val="4"/>
                <w:szCs w:val="4"/>
                <w:color w:val="auto"/>
              </w:rPr>
            </w:pPr>
          </w:p>
        </w:tc>
        <w:tc>
          <w:tcPr>
            <w:tcW w:w="1160" w:type="dxa"/>
            <w:vAlign w:val="bottom"/>
            <w:tcBorders>
              <w:bottom w:val="single" w:sz="8" w:color="B2B2B2"/>
              <w:right w:val="single" w:sz="8" w:color="B2B2B2"/>
            </w:tcBorders>
          </w:tcPr>
          <w:p>
            <w:pPr>
              <w:spacing w:after="0"/>
              <w:rPr>
                <w:sz w:val="4"/>
                <w:szCs w:val="4"/>
                <w:color w:val="auto"/>
              </w:rPr>
            </w:pPr>
          </w:p>
        </w:tc>
        <w:tc>
          <w:tcPr>
            <w:tcW w:w="1140" w:type="dxa"/>
            <w:vAlign w:val="bottom"/>
            <w:tcBorders>
              <w:bottom w:val="single" w:sz="8" w:color="B2B2B2"/>
              <w:right w:val="single" w:sz="8" w:color="B2B2B2"/>
            </w:tcBorders>
          </w:tcPr>
          <w:p>
            <w:pPr>
              <w:spacing w:after="0"/>
              <w:rPr>
                <w:sz w:val="4"/>
                <w:szCs w:val="4"/>
                <w:color w:val="auto"/>
              </w:rPr>
            </w:pPr>
          </w:p>
        </w:tc>
        <w:tc>
          <w:tcPr>
            <w:tcW w:w="1360" w:type="dxa"/>
            <w:vAlign w:val="bottom"/>
            <w:tcBorders>
              <w:bottom w:val="single" w:sz="8" w:color="B2B2B2"/>
              <w:right w:val="single" w:sz="8" w:color="B2B2B2"/>
            </w:tcBorders>
          </w:tcPr>
          <w:p>
            <w:pPr>
              <w:spacing w:after="0"/>
              <w:rPr>
                <w:sz w:val="4"/>
                <w:szCs w:val="4"/>
                <w:color w:val="auto"/>
              </w:rPr>
            </w:pPr>
          </w:p>
        </w:tc>
        <w:tc>
          <w:tcPr>
            <w:tcW w:w="1340" w:type="dxa"/>
            <w:vAlign w:val="bottom"/>
            <w:tcBorders>
              <w:bottom w:val="single" w:sz="8" w:color="B2B2B2"/>
              <w:right w:val="single" w:sz="8" w:color="B2B2B2"/>
            </w:tcBorders>
          </w:tcPr>
          <w:p>
            <w:pPr>
              <w:spacing w:after="0"/>
              <w:rPr>
                <w:sz w:val="4"/>
                <w:szCs w:val="4"/>
                <w:color w:val="auto"/>
              </w:rPr>
            </w:pPr>
          </w:p>
        </w:tc>
        <w:tc>
          <w:tcPr>
            <w:tcW w:w="1140" w:type="dxa"/>
            <w:vAlign w:val="bottom"/>
            <w:tcBorders>
              <w:bottom w:val="single" w:sz="8" w:color="B2B2B2"/>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20" w:right="100" w:hanging="4"/>
        <w:spacing w:after="0" w:line="266" w:lineRule="auto"/>
        <w:tabs>
          <w:tab w:leader="none" w:pos="336"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in these columns represent the aggregate grant date fair value of the restricted stock unit awards and stock option awards granted during 2021, in each case computed in accordance with Financial Accounting Standards Board Accounting Standards Codification, Topic 718, or ASC Topic 718. The assumptions used in calculating the grant date fair value of the restricted stock units and stock options are set forth in Note 11 – Stockholders’ Equity of the consolidated financial statements included in the Company’s Annual Report on Form 10-K for the year ended December 31, 2021.</w:t>
      </w:r>
    </w:p>
    <w:p>
      <w:pPr>
        <w:ind w:left="340" w:hanging="224"/>
        <w:spacing w:after="0"/>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Where applicable the amounts reported in this column for the year ended December 31, 2020 reflect payouts under the Company’s 2018 MTL Incentive Plan.</w:t>
      </w:r>
    </w:p>
    <w:p>
      <w:pPr>
        <w:spacing w:after="0" w:line="14" w:lineRule="exact"/>
        <w:rPr>
          <w:rFonts w:ascii="Arial" w:cs="Arial" w:eastAsia="Arial" w:hAnsi="Arial"/>
          <w:sz w:val="14"/>
          <w:szCs w:val="14"/>
          <w:i w:val="1"/>
          <w:iCs w:val="1"/>
          <w:color w:val="auto"/>
        </w:rPr>
      </w:pPr>
    </w:p>
    <w:p>
      <w:pPr>
        <w:ind w:left="340" w:hanging="224"/>
        <w:spacing w:after="0"/>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in this column for 2021 and 2020 include Company matching contributions under its 401(k) plan of $11,600 and $11,400, respectively.</w:t>
      </w:r>
    </w:p>
    <w:p>
      <w:pPr>
        <w:spacing w:after="0" w:line="14" w:lineRule="exact"/>
        <w:rPr>
          <w:rFonts w:ascii="Arial" w:cs="Arial" w:eastAsia="Arial" w:hAnsi="Arial"/>
          <w:sz w:val="14"/>
          <w:szCs w:val="14"/>
          <w:i w:val="1"/>
          <w:iCs w:val="1"/>
          <w:color w:val="auto"/>
        </w:rPr>
      </w:pPr>
    </w:p>
    <w:p>
      <w:pPr>
        <w:ind w:left="340" w:hanging="224"/>
        <w:spacing w:after="0"/>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2021, Mr. Caine began serving as our Chief Product Officer and was paid prorated salary amounts based on an annual salary of $525,000.</w:t>
      </w:r>
    </w:p>
    <w:p>
      <w:pPr>
        <w:spacing w:after="0" w:line="14" w:lineRule="exact"/>
        <w:rPr>
          <w:rFonts w:ascii="Arial" w:cs="Arial" w:eastAsia="Arial" w:hAnsi="Arial"/>
          <w:sz w:val="14"/>
          <w:szCs w:val="14"/>
          <w:i w:val="1"/>
          <w:iCs w:val="1"/>
          <w:color w:val="auto"/>
        </w:rPr>
      </w:pPr>
    </w:p>
    <w:p>
      <w:pPr>
        <w:ind w:left="340" w:hanging="224"/>
        <w:spacing w:after="0"/>
        <w:tabs>
          <w:tab w:leader="none" w:pos="3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Mr. Caine’s terms of employment entitle him to a sign-on bonus of $200,000, which was paid in January 2022 and will be reported for 2022.</w:t>
      </w:r>
    </w:p>
    <w:p>
      <w:pPr>
        <w:spacing w:after="0" w:line="200" w:lineRule="exact"/>
        <w:rPr>
          <w:rFonts w:ascii="Arial" w:cs="Arial" w:eastAsia="Arial" w:hAnsi="Arial"/>
          <w:sz w:val="14"/>
          <w:szCs w:val="14"/>
          <w:i w:val="1"/>
          <w:iCs w:val="1"/>
          <w:color w:val="auto"/>
        </w:rPr>
      </w:pPr>
    </w:p>
    <w:p>
      <w:pPr>
        <w:spacing w:after="0" w:line="200" w:lineRule="exact"/>
        <w:rPr>
          <w:rFonts w:ascii="Arial" w:cs="Arial" w:eastAsia="Arial" w:hAnsi="Arial"/>
          <w:sz w:val="14"/>
          <w:szCs w:val="14"/>
          <w:i w:val="1"/>
          <w:iCs w:val="1"/>
          <w:color w:val="auto"/>
        </w:rPr>
      </w:pPr>
    </w:p>
    <w:p>
      <w:pPr>
        <w:spacing w:after="0" w:line="230" w:lineRule="exact"/>
        <w:rPr>
          <w:rFonts w:ascii="Arial" w:cs="Arial" w:eastAsia="Arial" w:hAnsi="Arial"/>
          <w:sz w:val="14"/>
          <w:szCs w:val="14"/>
          <w:i w:val="1"/>
          <w:iCs w:val="1"/>
          <w:color w:val="auto"/>
        </w:rPr>
      </w:pPr>
    </w:p>
    <w:p>
      <w:pPr>
        <w:ind w:left="340"/>
        <w:spacing w:after="0"/>
        <w:rPr>
          <w:rFonts w:ascii="Arial" w:cs="Arial" w:eastAsia="Arial" w:hAnsi="Arial"/>
          <w:sz w:val="14"/>
          <w:szCs w:val="14"/>
          <w:i w:val="1"/>
          <w:iCs w:val="1"/>
          <w:color w:val="auto"/>
        </w:rPr>
      </w:pPr>
      <w:r>
        <w:rPr>
          <w:rFonts w:ascii="Arial" w:cs="Arial" w:eastAsia="Arial" w:hAnsi="Arial"/>
          <w:sz w:val="16"/>
          <w:szCs w:val="16"/>
          <w:b w:val="1"/>
          <w:bCs w:val="1"/>
          <w:color w:val="auto"/>
        </w:rPr>
        <w:t>32</w:t>
      </w:r>
      <w:r>
        <w:rPr>
          <w:rFonts w:ascii="Arial" w:cs="Arial" w:eastAsia="Arial" w:hAnsi="Arial"/>
          <w:sz w:val="16"/>
          <w:szCs w:val="16"/>
          <w:color w:val="auto"/>
        </w:rPr>
        <w:t>PROXY STATEMENT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-415925</wp:posOffset>
            </wp:positionV>
            <wp:extent cx="6995160" cy="7029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NAMED EXECUTIVE OFFICER COMPENSATION TABLES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Narrative Disclosure to Summary Compensation Table</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Offer Letters</w:t>
      </w:r>
    </w:p>
    <w:p>
      <w:pPr>
        <w:spacing w:after="0" w:line="225" w:lineRule="exact"/>
        <w:rPr>
          <w:sz w:val="20"/>
          <w:szCs w:val="20"/>
          <w:color w:val="auto"/>
        </w:rPr>
      </w:pPr>
    </w:p>
    <w:p>
      <w:pPr>
        <w:ind w:left="120" w:right="60"/>
        <w:spacing w:after="0" w:line="319" w:lineRule="auto"/>
        <w:rPr>
          <w:sz w:val="20"/>
          <w:szCs w:val="20"/>
          <w:color w:val="auto"/>
        </w:rPr>
      </w:pPr>
      <w:r>
        <w:rPr>
          <w:rFonts w:ascii="Arial" w:cs="Arial" w:eastAsia="Arial" w:hAnsi="Arial"/>
          <w:sz w:val="16"/>
          <w:szCs w:val="16"/>
          <w:color w:val="auto"/>
        </w:rPr>
        <w:t>Set forth below are descriptions of our employment terms with our Named Executive Officers. For a discussion of the severance pay and other benefits to be provided in connection with a termination of employment and/or a change in control under the arrangements with our Named Executive Officers, see “—Potential Payments upon Termination or Change in Control.”</w:t>
      </w:r>
    </w:p>
    <w:p>
      <w:pPr>
        <w:spacing w:after="0" w:line="171" w:lineRule="exact"/>
        <w:rPr>
          <w:sz w:val="20"/>
          <w:szCs w:val="20"/>
          <w:color w:val="auto"/>
        </w:rPr>
      </w:pPr>
    </w:p>
    <w:p>
      <w:pPr>
        <w:ind w:left="120" w:right="40"/>
        <w:spacing w:after="0" w:line="339" w:lineRule="auto"/>
        <w:rPr>
          <w:sz w:val="20"/>
          <w:szCs w:val="20"/>
          <w:color w:val="auto"/>
        </w:rPr>
      </w:pPr>
      <w:r>
        <w:rPr>
          <w:rFonts w:ascii="Arial" w:cs="Arial" w:eastAsia="Arial" w:hAnsi="Arial"/>
          <w:sz w:val="16"/>
          <w:szCs w:val="16"/>
          <w:i w:val="1"/>
          <w:iCs w:val="1"/>
          <w:color w:val="auto"/>
        </w:rPr>
        <w:t>Tim Chen</w:t>
      </w:r>
      <w:r>
        <w:rPr>
          <w:rFonts w:ascii="Arial" w:cs="Arial" w:eastAsia="Arial" w:hAnsi="Arial"/>
          <w:sz w:val="16"/>
          <w:szCs w:val="16"/>
          <w:color w:val="auto"/>
        </w:rPr>
        <w:t>. On June 25, 2021, we entered into an offer letter with Mr. Chen. Under the terms of the offer letter Mr. Chen is entitled to an annual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of $600,000, effective as of July 1, 2021. Mr. Chen is also eligible to participate in the employee benefit plans generally available to our employees.</w:t>
      </w:r>
    </w:p>
    <w:p>
      <w:pPr>
        <w:spacing w:after="0" w:line="155" w:lineRule="exact"/>
        <w:rPr>
          <w:sz w:val="20"/>
          <w:szCs w:val="20"/>
          <w:color w:val="auto"/>
        </w:rPr>
      </w:pPr>
    </w:p>
    <w:p>
      <w:pPr>
        <w:ind w:left="120" w:right="160"/>
        <w:spacing w:after="0" w:line="319" w:lineRule="auto"/>
        <w:rPr>
          <w:sz w:val="20"/>
          <w:szCs w:val="20"/>
          <w:color w:val="auto"/>
        </w:rPr>
      </w:pPr>
      <w:r>
        <w:rPr>
          <w:rFonts w:ascii="Arial" w:cs="Arial" w:eastAsia="Arial" w:hAnsi="Arial"/>
          <w:sz w:val="16"/>
          <w:szCs w:val="16"/>
          <w:i w:val="1"/>
          <w:iCs w:val="1"/>
          <w:color w:val="auto"/>
        </w:rPr>
        <w:t>John Caine</w:t>
      </w:r>
      <w:r>
        <w:rPr>
          <w:rFonts w:ascii="Arial" w:cs="Arial" w:eastAsia="Arial" w:hAnsi="Arial"/>
          <w:sz w:val="16"/>
          <w:szCs w:val="16"/>
          <w:color w:val="auto"/>
        </w:rPr>
        <w:t>. On November 18, 2021, we entered into an offer letter with Mr. Caine. Under the terms of the offer letter, Mr. Caine is entitled to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of $525,000, a sign-on bonus of $200,000, an option to purchase 274,014 shares of the Company’s Class A common stock, and restricted stock units with a stated value of $2,750,000. Mr. Caine is also eligible to participate in the employee benefit plans generally available to our employees.</w:t>
      </w:r>
    </w:p>
    <w:p>
      <w:pPr>
        <w:spacing w:after="0" w:line="171" w:lineRule="exact"/>
        <w:rPr>
          <w:sz w:val="20"/>
          <w:szCs w:val="20"/>
          <w:color w:val="auto"/>
        </w:rPr>
      </w:pPr>
    </w:p>
    <w:p>
      <w:pPr>
        <w:ind w:left="120" w:right="160"/>
        <w:spacing w:after="0" w:line="319" w:lineRule="auto"/>
        <w:rPr>
          <w:sz w:val="20"/>
          <w:szCs w:val="20"/>
          <w:color w:val="auto"/>
        </w:rPr>
      </w:pPr>
      <w:r>
        <w:rPr>
          <w:rFonts w:ascii="Arial" w:cs="Arial" w:eastAsia="Arial" w:hAnsi="Arial"/>
          <w:sz w:val="16"/>
          <w:szCs w:val="16"/>
          <w:i w:val="1"/>
          <w:iCs w:val="1"/>
          <w:color w:val="auto"/>
        </w:rPr>
        <w:t>Kelly Gillease</w:t>
      </w:r>
      <w:r>
        <w:rPr>
          <w:rFonts w:ascii="Arial" w:cs="Arial" w:eastAsia="Arial" w:hAnsi="Arial"/>
          <w:sz w:val="16"/>
          <w:szCs w:val="16"/>
          <w:color w:val="auto"/>
        </w:rPr>
        <w:t>. On July 5, 2018, we entered into an offer letter with Ms. Gillease. Under the terms of the offer letter, Ms. Gillease is entitled to an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as determined by the Board from time to time. Ms. Gillease is also eligible to participate in the employee benefit plans generally available to our employees.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Equity Awards</w:t>
      </w:r>
    </w:p>
    <w:p>
      <w:pPr>
        <w:spacing w:after="0" w:line="225" w:lineRule="exact"/>
        <w:rPr>
          <w:sz w:val="20"/>
          <w:szCs w:val="20"/>
          <w:color w:val="auto"/>
        </w:rPr>
      </w:pPr>
    </w:p>
    <w:p>
      <w:pPr>
        <w:ind w:left="120" w:right="80"/>
        <w:spacing w:after="0" w:line="309" w:lineRule="auto"/>
        <w:rPr>
          <w:sz w:val="20"/>
          <w:szCs w:val="20"/>
          <w:color w:val="auto"/>
        </w:rPr>
      </w:pPr>
      <w:r>
        <w:rPr>
          <w:rFonts w:ascii="Arial" w:cs="Arial" w:eastAsia="Arial" w:hAnsi="Arial"/>
          <w:sz w:val="16"/>
          <w:szCs w:val="16"/>
          <w:color w:val="auto"/>
        </w:rPr>
        <w:t>Our Compensation Committee approves all compensation decisions relating to all of our executive officers, including our Named Executive Officers. Our equity compensation consists of an initial equity grant upon hire, consisting of a combination of stock options and restricted stock units (RSUs), and annual grants thereafter, all of which are granted under our equity incentive plan and subject to time-based vesting. Our equity compensation is designed to ensure that our Named Executive Officers are incentivized to grow stockholder value and that their interests are aligned with our stockholders for the long term.</w:t>
      </w:r>
    </w:p>
    <w:p>
      <w:pPr>
        <w:spacing w:after="0" w:line="179"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color w:val="auto"/>
        </w:rPr>
        <w:t>While we do not have formal stock ownership guidelines or requirements for our executive officers, we do strive to promote a culture of ownership. To that end, we have stock ownership principles that our executive officers, including our Named Executive Officers, have agreed to follow. Our Chief Executive Officer and our Chief Financial Officer have agreed to retain stockholdings worth at least six times and four times their total annual cash compensation, respectively, while all of our other officers have agreed to retain stockholdings worth at least three times their respective total annual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NAMED EXECUTIVE OFFICER COMPENSATION TABLES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Outstanding Equity Awards At December 31, 2021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provides information about the outstanding Company equity awards held by our Named Executive Officers as of December 31, 2021.</w:t>
      </w:r>
    </w:p>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2020" w:type="dxa"/>
            <w:vAlign w:val="bottom"/>
            <w:tcBorders>
              <w:top w:val="single" w:sz="8" w:color="60BAFF"/>
              <w:right w:val="single" w:sz="8" w:color="B2B2B2"/>
            </w:tcBorders>
          </w:tcPr>
          <w:p>
            <w:pPr>
              <w:spacing w:after="0"/>
              <w:rPr>
                <w:sz w:val="22"/>
                <w:szCs w:val="22"/>
                <w:color w:val="auto"/>
              </w:rPr>
            </w:pPr>
          </w:p>
        </w:tc>
        <w:tc>
          <w:tcPr>
            <w:tcW w:w="1560" w:type="dxa"/>
            <w:vAlign w:val="bottom"/>
            <w:tcBorders>
              <w:top w:val="single" w:sz="8" w:color="60BAFF"/>
              <w:right w:val="single" w:sz="8" w:color="B2B2B2"/>
            </w:tcBorders>
          </w:tcPr>
          <w:p>
            <w:pPr>
              <w:spacing w:after="0"/>
              <w:rPr>
                <w:sz w:val="22"/>
                <w:szCs w:val="22"/>
                <w:color w:val="auto"/>
              </w:rPr>
            </w:pPr>
          </w:p>
        </w:tc>
        <w:tc>
          <w:tcPr>
            <w:tcW w:w="1340" w:type="dxa"/>
            <w:vAlign w:val="bottom"/>
            <w:tcBorders>
              <w:top w:val="single" w:sz="8" w:color="60BAFF"/>
            </w:tcBorders>
          </w:tcPr>
          <w:p>
            <w:pPr>
              <w:jc w:val="right"/>
              <w:spacing w:after="0"/>
              <w:rPr>
                <w:sz w:val="20"/>
                <w:szCs w:val="20"/>
                <w:color w:val="auto"/>
              </w:rPr>
            </w:pPr>
            <w:r>
              <w:rPr>
                <w:rFonts w:ascii="Arial" w:cs="Arial" w:eastAsia="Arial" w:hAnsi="Arial"/>
                <w:sz w:val="14"/>
                <w:szCs w:val="14"/>
                <w:b w:val="1"/>
                <w:bCs w:val="1"/>
                <w:color w:val="60BAFF"/>
              </w:rPr>
              <w:t>OPTION AWARDS</w:t>
            </w:r>
          </w:p>
        </w:tc>
        <w:tc>
          <w:tcPr>
            <w:tcW w:w="1500" w:type="dxa"/>
            <w:vAlign w:val="bottom"/>
            <w:tcBorders>
              <w:top w:val="single" w:sz="8" w:color="60BAFF"/>
            </w:tcBorders>
          </w:tcPr>
          <w:p>
            <w:pPr>
              <w:spacing w:after="0"/>
              <w:rPr>
                <w:sz w:val="22"/>
                <w:szCs w:val="22"/>
                <w:color w:val="auto"/>
              </w:rPr>
            </w:pPr>
          </w:p>
        </w:tc>
        <w:tc>
          <w:tcPr>
            <w:tcW w:w="180" w:type="dxa"/>
            <w:vAlign w:val="bottom"/>
            <w:tcBorders>
              <w:top w:val="single" w:sz="8" w:color="60BAFF"/>
            </w:tcBorders>
          </w:tcPr>
          <w:p>
            <w:pPr>
              <w:spacing w:after="0"/>
              <w:rPr>
                <w:sz w:val="22"/>
                <w:szCs w:val="22"/>
                <w:color w:val="auto"/>
              </w:rPr>
            </w:pPr>
          </w:p>
        </w:tc>
        <w:tc>
          <w:tcPr>
            <w:tcW w:w="840" w:type="dxa"/>
            <w:vAlign w:val="bottom"/>
            <w:tcBorders>
              <w:top w:val="single" w:sz="8" w:color="60BAFF"/>
            </w:tcBorders>
          </w:tcPr>
          <w:p>
            <w:pPr>
              <w:spacing w:after="0"/>
              <w:rPr>
                <w:sz w:val="22"/>
                <w:szCs w:val="22"/>
                <w:color w:val="auto"/>
              </w:rPr>
            </w:pPr>
          </w:p>
        </w:tc>
        <w:tc>
          <w:tcPr>
            <w:tcW w:w="1180" w:type="dxa"/>
            <w:vAlign w:val="bottom"/>
            <w:tcBorders>
              <w:top w:val="single" w:sz="8" w:color="60BAFF"/>
              <w:right w:val="single" w:sz="8" w:color="B2B2B2"/>
            </w:tcBorders>
          </w:tcPr>
          <w:p>
            <w:pPr>
              <w:spacing w:after="0"/>
              <w:rPr>
                <w:sz w:val="22"/>
                <w:szCs w:val="22"/>
                <w:color w:val="auto"/>
              </w:rPr>
            </w:pPr>
          </w:p>
        </w:tc>
        <w:tc>
          <w:tcPr>
            <w:tcW w:w="1300" w:type="dxa"/>
            <w:vAlign w:val="bottom"/>
            <w:tcBorders>
              <w:top w:val="single" w:sz="8" w:color="60BAFF"/>
            </w:tcBorders>
          </w:tcPr>
          <w:p>
            <w:pPr>
              <w:jc w:val="right"/>
              <w:ind w:right="6"/>
              <w:spacing w:after="0"/>
              <w:rPr>
                <w:sz w:val="20"/>
                <w:szCs w:val="20"/>
                <w:color w:val="auto"/>
              </w:rPr>
            </w:pPr>
            <w:r>
              <w:rPr>
                <w:rFonts w:ascii="Arial" w:cs="Arial" w:eastAsia="Arial" w:hAnsi="Arial"/>
                <w:sz w:val="14"/>
                <w:szCs w:val="14"/>
                <w:b w:val="1"/>
                <w:bCs w:val="1"/>
                <w:color w:val="60BAFF"/>
              </w:rPr>
              <w:t>STOCK AWARDS</w:t>
            </w:r>
          </w:p>
        </w:tc>
        <w:tc>
          <w:tcPr>
            <w:tcW w:w="1100" w:type="dxa"/>
            <w:vAlign w:val="bottom"/>
            <w:tcBorders>
              <w:top w:val="single" w:sz="8" w:color="60BAFF"/>
            </w:tcBorders>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20" w:type="dxa"/>
            <w:vAlign w:val="bottom"/>
            <w:tcBorders>
              <w:bottom w:val="single" w:sz="8" w:color="60BAFF"/>
              <w:right w:val="single" w:sz="8" w:color="B2B2B2"/>
            </w:tcBorders>
          </w:tcPr>
          <w:p>
            <w:pPr>
              <w:spacing w:after="0"/>
              <w:rPr>
                <w:sz w:val="3"/>
                <w:szCs w:val="3"/>
                <w:color w:val="auto"/>
              </w:rPr>
            </w:pPr>
          </w:p>
        </w:tc>
        <w:tc>
          <w:tcPr>
            <w:tcW w:w="1560" w:type="dxa"/>
            <w:vAlign w:val="bottom"/>
            <w:tcBorders>
              <w:bottom w:val="single" w:sz="8" w:color="60BAFF"/>
              <w:right w:val="single" w:sz="8" w:color="B2B2B2"/>
            </w:tcBorders>
          </w:tcPr>
          <w:p>
            <w:pPr>
              <w:spacing w:after="0"/>
              <w:rPr>
                <w:sz w:val="3"/>
                <w:szCs w:val="3"/>
                <w:color w:val="auto"/>
              </w:rPr>
            </w:pPr>
          </w:p>
        </w:tc>
        <w:tc>
          <w:tcPr>
            <w:tcW w:w="1340" w:type="dxa"/>
            <w:vAlign w:val="bottom"/>
            <w:tcBorders>
              <w:bottom w:val="single" w:sz="8" w:color="60BAFF"/>
            </w:tcBorders>
          </w:tcPr>
          <w:p>
            <w:pPr>
              <w:spacing w:after="0"/>
              <w:rPr>
                <w:sz w:val="3"/>
                <w:szCs w:val="3"/>
                <w:color w:val="auto"/>
              </w:rPr>
            </w:pPr>
          </w:p>
        </w:tc>
        <w:tc>
          <w:tcPr>
            <w:tcW w:w="1500" w:type="dxa"/>
            <w:vAlign w:val="bottom"/>
            <w:tcBorders>
              <w:bottom w:val="single" w:sz="8" w:color="60BAFF"/>
            </w:tcBorders>
          </w:tcPr>
          <w:p>
            <w:pPr>
              <w:spacing w:after="0"/>
              <w:rPr>
                <w:sz w:val="3"/>
                <w:szCs w:val="3"/>
                <w:color w:val="auto"/>
              </w:rPr>
            </w:pPr>
          </w:p>
        </w:tc>
        <w:tc>
          <w:tcPr>
            <w:tcW w:w="180" w:type="dxa"/>
            <w:vAlign w:val="bottom"/>
            <w:tcBorders>
              <w:bottom w:val="single" w:sz="8" w:color="60BAFF"/>
            </w:tcBorders>
          </w:tcPr>
          <w:p>
            <w:pPr>
              <w:spacing w:after="0"/>
              <w:rPr>
                <w:sz w:val="3"/>
                <w:szCs w:val="3"/>
                <w:color w:val="auto"/>
              </w:rPr>
            </w:pPr>
          </w:p>
        </w:tc>
        <w:tc>
          <w:tcPr>
            <w:tcW w:w="840" w:type="dxa"/>
            <w:vAlign w:val="bottom"/>
            <w:tcBorders>
              <w:bottom w:val="single" w:sz="8" w:color="60BAFF"/>
            </w:tcBorders>
          </w:tcPr>
          <w:p>
            <w:pPr>
              <w:spacing w:after="0"/>
              <w:rPr>
                <w:sz w:val="3"/>
                <w:szCs w:val="3"/>
                <w:color w:val="auto"/>
              </w:rPr>
            </w:pPr>
          </w:p>
        </w:tc>
        <w:tc>
          <w:tcPr>
            <w:tcW w:w="1180" w:type="dxa"/>
            <w:vAlign w:val="bottom"/>
            <w:tcBorders>
              <w:bottom w:val="single" w:sz="8" w:color="60BAFF"/>
              <w:right w:val="single" w:sz="8" w:color="B2B2B2"/>
            </w:tcBorders>
          </w:tcPr>
          <w:p>
            <w:pPr>
              <w:spacing w:after="0"/>
              <w:rPr>
                <w:sz w:val="3"/>
                <w:szCs w:val="3"/>
                <w:color w:val="auto"/>
              </w:rPr>
            </w:pPr>
          </w:p>
        </w:tc>
        <w:tc>
          <w:tcPr>
            <w:tcW w:w="1300" w:type="dxa"/>
            <w:vAlign w:val="bottom"/>
            <w:tcBorders>
              <w:bottom w:val="single" w:sz="8" w:color="60BAFF"/>
            </w:tcBorders>
          </w:tcPr>
          <w:p>
            <w:pPr>
              <w:spacing w:after="0"/>
              <w:rPr>
                <w:sz w:val="3"/>
                <w:szCs w:val="3"/>
                <w:color w:val="auto"/>
              </w:rPr>
            </w:pPr>
          </w:p>
        </w:tc>
        <w:tc>
          <w:tcPr>
            <w:tcW w:w="1100" w:type="dxa"/>
            <w:vAlign w:val="bottom"/>
            <w:tcBorders>
              <w:bottom w:val="single" w:sz="8" w:color="60BAFF"/>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20" w:type="dxa"/>
            <w:vAlign w:val="bottom"/>
            <w:tcBorders>
              <w:right w:val="single" w:sz="8" w:color="B2B2B2"/>
            </w:tcBorders>
          </w:tcPr>
          <w:p>
            <w:pPr>
              <w:spacing w:after="0"/>
              <w:rPr>
                <w:sz w:val="17"/>
                <w:szCs w:val="17"/>
                <w:color w:val="auto"/>
              </w:rPr>
            </w:pPr>
          </w:p>
        </w:tc>
        <w:tc>
          <w:tcPr>
            <w:tcW w:w="1560" w:type="dxa"/>
            <w:vAlign w:val="bottom"/>
            <w:tcBorders>
              <w:right w:val="single" w:sz="8" w:color="B2B2B2"/>
            </w:tcBorders>
          </w:tcPr>
          <w:p>
            <w:pPr>
              <w:spacing w:after="0"/>
              <w:rPr>
                <w:sz w:val="17"/>
                <w:szCs w:val="17"/>
                <w:color w:val="auto"/>
              </w:rPr>
            </w:pPr>
          </w:p>
        </w:tc>
        <w:tc>
          <w:tcPr>
            <w:tcW w:w="1340" w:type="dxa"/>
            <w:vAlign w:val="bottom"/>
            <w:tcBorders>
              <w:right w:val="single" w:sz="8" w:color="B2B2B2"/>
            </w:tcBorders>
          </w:tcPr>
          <w:p>
            <w:pPr>
              <w:spacing w:after="0"/>
              <w:rPr>
                <w:sz w:val="17"/>
                <w:szCs w:val="17"/>
                <w:color w:val="auto"/>
              </w:rPr>
            </w:pPr>
          </w:p>
        </w:tc>
        <w:tc>
          <w:tcPr>
            <w:tcW w:w="1500" w:type="dxa"/>
            <w:vAlign w:val="bottom"/>
            <w:tcBorders>
              <w:right w:val="single" w:sz="8" w:color="B2B2B2"/>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B2B2B2"/>
            </w:tcBorders>
          </w:tcPr>
          <w:p>
            <w:pPr>
              <w:spacing w:after="0"/>
              <w:rPr>
                <w:sz w:val="17"/>
                <w:szCs w:val="17"/>
                <w:color w:val="auto"/>
              </w:rPr>
            </w:pPr>
          </w:p>
        </w:tc>
        <w:tc>
          <w:tcPr>
            <w:tcW w:w="1180" w:type="dxa"/>
            <w:vAlign w:val="bottom"/>
            <w:tcBorders>
              <w:right w:val="single" w:sz="8" w:color="B2B2B2"/>
            </w:tcBorders>
          </w:tcPr>
          <w:p>
            <w:pPr>
              <w:spacing w:after="0"/>
              <w:rPr>
                <w:sz w:val="17"/>
                <w:szCs w:val="17"/>
                <w:color w:val="auto"/>
              </w:rPr>
            </w:pPr>
          </w:p>
        </w:tc>
        <w:tc>
          <w:tcPr>
            <w:tcW w:w="1300" w:type="dxa"/>
            <w:vAlign w:val="bottom"/>
            <w:tcBorders>
              <w:right w:val="single" w:sz="8" w:color="B2B2B2"/>
            </w:tcBorders>
          </w:tcPr>
          <w:p>
            <w:pPr>
              <w:spacing w:after="0"/>
              <w:rPr>
                <w:sz w:val="17"/>
                <w:szCs w:val="17"/>
                <w:color w:val="auto"/>
              </w:rPr>
            </w:pP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rPr>
              <w:t>MARKET</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spacing w:after="0"/>
              <w:rPr>
                <w:sz w:val="14"/>
                <w:szCs w:val="14"/>
                <w:color w:val="auto"/>
              </w:rPr>
            </w:pPr>
          </w:p>
        </w:tc>
        <w:tc>
          <w:tcPr>
            <w:tcW w:w="1340" w:type="dxa"/>
            <w:vAlign w:val="bottom"/>
            <w:tcBorders>
              <w:right w:val="single" w:sz="8" w:color="B2B2B2"/>
            </w:tcBorders>
          </w:tcPr>
          <w:p>
            <w:pPr>
              <w:spacing w:after="0"/>
              <w:rPr>
                <w:sz w:val="14"/>
                <w:szCs w:val="14"/>
                <w:color w:val="auto"/>
              </w:rPr>
            </w:pPr>
          </w:p>
        </w:tc>
        <w:tc>
          <w:tcPr>
            <w:tcW w:w="1500" w:type="dxa"/>
            <w:vAlign w:val="bottom"/>
            <w:tcBorders>
              <w:right w:val="single" w:sz="8" w:color="B2B2B2"/>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right w:val="single" w:sz="8" w:color="B2B2B2"/>
            </w:tcBorders>
          </w:tcPr>
          <w:p>
            <w:pPr>
              <w:spacing w:after="0"/>
              <w:rPr>
                <w:sz w:val="14"/>
                <w:szCs w:val="14"/>
                <w:color w:val="auto"/>
              </w:rPr>
            </w:pPr>
          </w:p>
        </w:tc>
        <w:tc>
          <w:tcPr>
            <w:tcW w:w="1180" w:type="dxa"/>
            <w:vAlign w:val="bottom"/>
            <w:tcBorders>
              <w:right w:val="single" w:sz="8" w:color="B2B2B2"/>
            </w:tcBorders>
          </w:tcPr>
          <w:p>
            <w:pPr>
              <w:spacing w:after="0"/>
              <w:rPr>
                <w:sz w:val="14"/>
                <w:szCs w:val="14"/>
                <w:color w:val="auto"/>
              </w:rPr>
            </w:pPr>
          </w:p>
        </w:tc>
        <w:tc>
          <w:tcPr>
            <w:tcW w:w="1300" w:type="dxa"/>
            <w:vAlign w:val="bottom"/>
            <w:tcBorders>
              <w:right w:val="single" w:sz="8" w:color="B2B2B2"/>
            </w:tcBorders>
          </w:tcPr>
          <w:p>
            <w:pPr>
              <w:spacing w:after="0"/>
              <w:rPr>
                <w:sz w:val="14"/>
                <w:szCs w:val="14"/>
                <w:color w:val="auto"/>
              </w:rPr>
            </w:pP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w w:val="98"/>
              </w:rPr>
              <w:t>VALUE OF</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spacing w:after="0"/>
              <w:rPr>
                <w:sz w:val="14"/>
                <w:szCs w:val="14"/>
                <w:color w:val="auto"/>
              </w:rPr>
            </w:pPr>
          </w:p>
        </w:tc>
        <w:tc>
          <w:tcPr>
            <w:tcW w:w="1340" w:type="dxa"/>
            <w:vAlign w:val="bottom"/>
            <w:tcBorders>
              <w:right w:val="single" w:sz="8" w:color="B2B2B2"/>
            </w:tcBorders>
            <w:vMerge w:val="restart"/>
          </w:tcPr>
          <w:p>
            <w:pPr>
              <w:jc w:val="center"/>
              <w:ind w:right="44"/>
              <w:spacing w:after="0"/>
              <w:rPr>
                <w:sz w:val="20"/>
                <w:szCs w:val="20"/>
                <w:color w:val="auto"/>
              </w:rPr>
            </w:pPr>
            <w:r>
              <w:rPr>
                <w:rFonts w:ascii="Arial" w:cs="Arial" w:eastAsia="Arial" w:hAnsi="Arial"/>
                <w:sz w:val="14"/>
                <w:szCs w:val="14"/>
                <w:b w:val="1"/>
                <w:bCs w:val="1"/>
                <w:color w:val="60BAFF"/>
              </w:rPr>
              <w:t>NUMBER OF</w:t>
            </w:r>
          </w:p>
        </w:tc>
        <w:tc>
          <w:tcPr>
            <w:tcW w:w="1500" w:type="dxa"/>
            <w:vAlign w:val="bottom"/>
            <w:tcBorders>
              <w:right w:val="single" w:sz="8" w:color="B2B2B2"/>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right w:val="single" w:sz="8" w:color="B2B2B2"/>
            </w:tcBorders>
          </w:tcPr>
          <w:p>
            <w:pPr>
              <w:spacing w:after="0"/>
              <w:rPr>
                <w:sz w:val="14"/>
                <w:szCs w:val="14"/>
                <w:color w:val="auto"/>
              </w:rPr>
            </w:pPr>
          </w:p>
        </w:tc>
        <w:tc>
          <w:tcPr>
            <w:tcW w:w="1180" w:type="dxa"/>
            <w:vAlign w:val="bottom"/>
            <w:tcBorders>
              <w:right w:val="single" w:sz="8" w:color="B2B2B2"/>
            </w:tcBorders>
          </w:tcPr>
          <w:p>
            <w:pPr>
              <w:spacing w:after="0"/>
              <w:rPr>
                <w:sz w:val="14"/>
                <w:szCs w:val="14"/>
                <w:color w:val="auto"/>
              </w:rPr>
            </w:pPr>
          </w:p>
        </w:tc>
        <w:tc>
          <w:tcPr>
            <w:tcW w:w="1300" w:type="dxa"/>
            <w:vAlign w:val="bottom"/>
            <w:tcBorders>
              <w:right w:val="single" w:sz="8" w:color="B2B2B2"/>
            </w:tcBorders>
            <w:vMerge w:val="restart"/>
          </w:tcPr>
          <w:p>
            <w:pPr>
              <w:jc w:val="center"/>
              <w:ind w:right="226"/>
              <w:spacing w:after="0"/>
              <w:rPr>
                <w:sz w:val="20"/>
                <w:szCs w:val="20"/>
                <w:color w:val="auto"/>
              </w:rPr>
            </w:pPr>
            <w:r>
              <w:rPr>
                <w:rFonts w:ascii="Arial" w:cs="Arial" w:eastAsia="Arial" w:hAnsi="Arial"/>
                <w:sz w:val="14"/>
                <w:szCs w:val="14"/>
                <w:b w:val="1"/>
                <w:bCs w:val="1"/>
                <w:color w:val="60BAFF"/>
              </w:rPr>
              <w:t>NUMBER OF</w:t>
            </w:r>
          </w:p>
        </w:tc>
        <w:tc>
          <w:tcPr>
            <w:tcW w:w="1100" w:type="dxa"/>
            <w:vAlign w:val="bottom"/>
          </w:tcPr>
          <w:p>
            <w:pPr>
              <w:jc w:val="center"/>
              <w:ind w:right="25"/>
              <w:spacing w:after="0"/>
              <w:rPr>
                <w:sz w:val="20"/>
                <w:szCs w:val="20"/>
                <w:color w:val="auto"/>
              </w:rPr>
            </w:pPr>
            <w:r>
              <w:rPr>
                <w:rFonts w:ascii="Arial" w:cs="Arial" w:eastAsia="Arial" w:hAnsi="Arial"/>
                <w:sz w:val="14"/>
                <w:szCs w:val="14"/>
                <w:b w:val="1"/>
                <w:bCs w:val="1"/>
                <w:color w:val="60BAFF"/>
              </w:rPr>
              <w:t>SHARES</w:t>
            </w:r>
          </w:p>
        </w:tc>
        <w:tc>
          <w:tcPr>
            <w:tcW w:w="0" w:type="dxa"/>
            <w:vAlign w:val="bottom"/>
          </w:tcPr>
          <w:p>
            <w:pPr>
              <w:spacing w:after="0"/>
              <w:rPr>
                <w:sz w:val="1"/>
                <w:szCs w:val="1"/>
                <w:color w:val="auto"/>
              </w:rPr>
            </w:pPr>
          </w:p>
        </w:tc>
      </w:tr>
      <w:tr>
        <w:trPr>
          <w:trHeight w:val="148"/>
        </w:trPr>
        <w:tc>
          <w:tcPr>
            <w:tcW w:w="2020" w:type="dxa"/>
            <w:vAlign w:val="bottom"/>
            <w:tcBorders>
              <w:right w:val="single" w:sz="8" w:color="B2B2B2"/>
            </w:tcBorders>
          </w:tcPr>
          <w:p>
            <w:pPr>
              <w:spacing w:after="0"/>
              <w:rPr>
                <w:sz w:val="12"/>
                <w:szCs w:val="12"/>
                <w:color w:val="auto"/>
              </w:rPr>
            </w:pPr>
          </w:p>
        </w:tc>
        <w:tc>
          <w:tcPr>
            <w:tcW w:w="1560" w:type="dxa"/>
            <w:vAlign w:val="bottom"/>
            <w:tcBorders>
              <w:right w:val="single" w:sz="8" w:color="B2B2B2"/>
            </w:tcBorders>
          </w:tcPr>
          <w:p>
            <w:pPr>
              <w:spacing w:after="0"/>
              <w:rPr>
                <w:sz w:val="12"/>
                <w:szCs w:val="12"/>
                <w:color w:val="auto"/>
              </w:rPr>
            </w:pPr>
          </w:p>
        </w:tc>
        <w:tc>
          <w:tcPr>
            <w:tcW w:w="1340" w:type="dxa"/>
            <w:vAlign w:val="bottom"/>
            <w:tcBorders>
              <w:right w:val="single" w:sz="8" w:color="B2B2B2"/>
            </w:tcBorders>
            <w:vMerge w:val="continue"/>
          </w:tcPr>
          <w:p>
            <w:pPr>
              <w:spacing w:after="0"/>
              <w:rPr>
                <w:sz w:val="12"/>
                <w:szCs w:val="12"/>
                <w:color w:val="auto"/>
              </w:rPr>
            </w:pPr>
          </w:p>
        </w:tc>
        <w:tc>
          <w:tcPr>
            <w:tcW w:w="1500" w:type="dxa"/>
            <w:vAlign w:val="bottom"/>
            <w:tcBorders>
              <w:right w:val="single" w:sz="8" w:color="B2B2B2"/>
            </w:tcBorders>
          </w:tcPr>
          <w:p>
            <w:pPr>
              <w:jc w:val="center"/>
              <w:ind w:right="310"/>
              <w:spacing w:after="0" w:line="149" w:lineRule="exact"/>
              <w:rPr>
                <w:sz w:val="20"/>
                <w:szCs w:val="20"/>
                <w:color w:val="auto"/>
              </w:rPr>
            </w:pPr>
            <w:r>
              <w:rPr>
                <w:rFonts w:ascii="Arial" w:cs="Arial" w:eastAsia="Arial" w:hAnsi="Arial"/>
                <w:sz w:val="14"/>
                <w:szCs w:val="14"/>
                <w:b w:val="1"/>
                <w:bCs w:val="1"/>
                <w:color w:val="60BAFF"/>
              </w:rPr>
              <w:t>NUMBER OF</w:t>
            </w:r>
          </w:p>
        </w:tc>
        <w:tc>
          <w:tcPr>
            <w:tcW w:w="180" w:type="dxa"/>
            <w:vAlign w:val="bottom"/>
          </w:tcPr>
          <w:p>
            <w:pPr>
              <w:spacing w:after="0"/>
              <w:rPr>
                <w:sz w:val="12"/>
                <w:szCs w:val="12"/>
                <w:color w:val="auto"/>
              </w:rPr>
            </w:pPr>
          </w:p>
        </w:tc>
        <w:tc>
          <w:tcPr>
            <w:tcW w:w="840" w:type="dxa"/>
            <w:vAlign w:val="bottom"/>
            <w:tcBorders>
              <w:right w:val="single" w:sz="8" w:color="B2B2B2"/>
            </w:tcBorders>
          </w:tcPr>
          <w:p>
            <w:pPr>
              <w:spacing w:after="0"/>
              <w:rPr>
                <w:sz w:val="12"/>
                <w:szCs w:val="12"/>
                <w:color w:val="auto"/>
              </w:rPr>
            </w:pPr>
          </w:p>
        </w:tc>
        <w:tc>
          <w:tcPr>
            <w:tcW w:w="1180" w:type="dxa"/>
            <w:vAlign w:val="bottom"/>
            <w:tcBorders>
              <w:right w:val="single" w:sz="8" w:color="B2B2B2"/>
            </w:tcBorders>
          </w:tcPr>
          <w:p>
            <w:pPr>
              <w:spacing w:after="0"/>
              <w:rPr>
                <w:sz w:val="12"/>
                <w:szCs w:val="12"/>
                <w:color w:val="auto"/>
              </w:rPr>
            </w:pPr>
          </w:p>
        </w:tc>
        <w:tc>
          <w:tcPr>
            <w:tcW w:w="1300" w:type="dxa"/>
            <w:vAlign w:val="bottom"/>
            <w:tcBorders>
              <w:right w:val="single" w:sz="8" w:color="B2B2B2"/>
            </w:tcBorders>
            <w:vMerge w:val="continue"/>
          </w:tcPr>
          <w:p>
            <w:pPr>
              <w:spacing w:after="0"/>
              <w:rPr>
                <w:sz w:val="12"/>
                <w:szCs w:val="12"/>
                <w:color w:val="auto"/>
              </w:rPr>
            </w:pPr>
          </w:p>
        </w:tc>
        <w:tc>
          <w:tcPr>
            <w:tcW w:w="11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60BAFF"/>
              </w:rPr>
              <w:t>OR</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spacing w:after="0"/>
              <w:rPr>
                <w:sz w:val="14"/>
                <w:szCs w:val="14"/>
                <w:color w:val="auto"/>
              </w:rPr>
            </w:pPr>
          </w:p>
        </w:tc>
        <w:tc>
          <w:tcPr>
            <w:tcW w:w="1340" w:type="dxa"/>
            <w:vAlign w:val="bottom"/>
            <w:tcBorders>
              <w:right w:val="single" w:sz="8" w:color="B2B2B2"/>
            </w:tcBorders>
          </w:tcPr>
          <w:p>
            <w:pPr>
              <w:jc w:val="center"/>
              <w:ind w:right="44"/>
              <w:spacing w:after="0"/>
              <w:rPr>
                <w:sz w:val="20"/>
                <w:szCs w:val="20"/>
                <w:color w:val="auto"/>
              </w:rPr>
            </w:pPr>
            <w:r>
              <w:rPr>
                <w:rFonts w:ascii="Arial" w:cs="Arial" w:eastAsia="Arial" w:hAnsi="Arial"/>
                <w:sz w:val="14"/>
                <w:szCs w:val="14"/>
                <w:b w:val="1"/>
                <w:bCs w:val="1"/>
                <w:color w:val="60BAFF"/>
              </w:rPr>
              <w:t>SECURITIES</w:t>
            </w:r>
          </w:p>
        </w:tc>
        <w:tc>
          <w:tcPr>
            <w:tcW w:w="1500" w:type="dxa"/>
            <w:vAlign w:val="bottom"/>
            <w:tcBorders>
              <w:right w:val="single" w:sz="8" w:color="B2B2B2"/>
            </w:tcBorders>
          </w:tcPr>
          <w:p>
            <w:pPr>
              <w:jc w:val="center"/>
              <w:ind w:right="290"/>
              <w:spacing w:after="0"/>
              <w:rPr>
                <w:sz w:val="20"/>
                <w:szCs w:val="20"/>
                <w:color w:val="auto"/>
              </w:rPr>
            </w:pPr>
            <w:r>
              <w:rPr>
                <w:rFonts w:ascii="Arial" w:cs="Arial" w:eastAsia="Arial" w:hAnsi="Arial"/>
                <w:sz w:val="14"/>
                <w:szCs w:val="14"/>
                <w:b w:val="1"/>
                <w:bCs w:val="1"/>
                <w:color w:val="60BAFF"/>
              </w:rPr>
              <w:t>SECURITIES</w:t>
            </w:r>
          </w:p>
        </w:tc>
        <w:tc>
          <w:tcPr>
            <w:tcW w:w="180" w:type="dxa"/>
            <w:vAlign w:val="bottom"/>
          </w:tcPr>
          <w:p>
            <w:pPr>
              <w:spacing w:after="0"/>
              <w:rPr>
                <w:sz w:val="14"/>
                <w:szCs w:val="14"/>
                <w:color w:val="auto"/>
              </w:rPr>
            </w:pPr>
          </w:p>
        </w:tc>
        <w:tc>
          <w:tcPr>
            <w:tcW w:w="840" w:type="dxa"/>
            <w:vAlign w:val="bottom"/>
            <w:tcBorders>
              <w:right w:val="single" w:sz="8" w:color="B2B2B2"/>
            </w:tcBorders>
          </w:tcPr>
          <w:p>
            <w:pPr>
              <w:spacing w:after="0"/>
              <w:rPr>
                <w:sz w:val="14"/>
                <w:szCs w:val="14"/>
                <w:color w:val="auto"/>
              </w:rPr>
            </w:pPr>
          </w:p>
        </w:tc>
        <w:tc>
          <w:tcPr>
            <w:tcW w:w="1180" w:type="dxa"/>
            <w:vAlign w:val="bottom"/>
            <w:tcBorders>
              <w:right w:val="single" w:sz="8" w:color="B2B2B2"/>
            </w:tcBorders>
          </w:tcPr>
          <w:p>
            <w:pPr>
              <w:spacing w:after="0"/>
              <w:rPr>
                <w:sz w:val="14"/>
                <w:szCs w:val="14"/>
                <w:color w:val="auto"/>
              </w:rPr>
            </w:pPr>
          </w:p>
        </w:tc>
        <w:tc>
          <w:tcPr>
            <w:tcW w:w="1300" w:type="dxa"/>
            <w:vAlign w:val="bottom"/>
            <w:tcBorders>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rPr>
              <w:t>SHARES OR</w:t>
            </w: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rPr>
              <w:t>UNITS OF</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spacing w:after="0"/>
              <w:rPr>
                <w:sz w:val="14"/>
                <w:szCs w:val="14"/>
                <w:color w:val="auto"/>
              </w:rPr>
            </w:pPr>
          </w:p>
        </w:tc>
        <w:tc>
          <w:tcPr>
            <w:tcW w:w="1340" w:type="dxa"/>
            <w:vAlign w:val="bottom"/>
            <w:tcBorders>
              <w:right w:val="single" w:sz="8" w:color="B2B2B2"/>
            </w:tcBorders>
          </w:tcPr>
          <w:p>
            <w:pPr>
              <w:jc w:val="center"/>
              <w:ind w:right="44"/>
              <w:spacing w:after="0"/>
              <w:rPr>
                <w:sz w:val="20"/>
                <w:szCs w:val="20"/>
                <w:color w:val="auto"/>
              </w:rPr>
            </w:pPr>
            <w:r>
              <w:rPr>
                <w:rFonts w:ascii="Arial" w:cs="Arial" w:eastAsia="Arial" w:hAnsi="Arial"/>
                <w:sz w:val="14"/>
                <w:szCs w:val="14"/>
                <w:b w:val="1"/>
                <w:bCs w:val="1"/>
                <w:color w:val="60BAFF"/>
              </w:rPr>
              <w:t>UNDERLYING</w:t>
            </w:r>
          </w:p>
        </w:tc>
        <w:tc>
          <w:tcPr>
            <w:tcW w:w="1500" w:type="dxa"/>
            <w:vAlign w:val="bottom"/>
            <w:tcBorders>
              <w:right w:val="single" w:sz="8" w:color="B2B2B2"/>
            </w:tcBorders>
          </w:tcPr>
          <w:p>
            <w:pPr>
              <w:jc w:val="center"/>
              <w:ind w:right="290"/>
              <w:spacing w:after="0"/>
              <w:rPr>
                <w:sz w:val="20"/>
                <w:szCs w:val="20"/>
                <w:color w:val="auto"/>
              </w:rPr>
            </w:pPr>
            <w:r>
              <w:rPr>
                <w:rFonts w:ascii="Arial" w:cs="Arial" w:eastAsia="Arial" w:hAnsi="Arial"/>
                <w:sz w:val="14"/>
                <w:szCs w:val="14"/>
                <w:b w:val="1"/>
                <w:bCs w:val="1"/>
                <w:color w:val="60BAFF"/>
              </w:rPr>
              <w:t>UNDERLYING</w:t>
            </w:r>
          </w:p>
        </w:tc>
        <w:tc>
          <w:tcPr>
            <w:tcW w:w="180" w:type="dxa"/>
            <w:vAlign w:val="bottom"/>
          </w:tcPr>
          <w:p>
            <w:pPr>
              <w:spacing w:after="0"/>
              <w:rPr>
                <w:sz w:val="14"/>
                <w:szCs w:val="14"/>
                <w:color w:val="auto"/>
              </w:rPr>
            </w:pPr>
          </w:p>
        </w:tc>
        <w:tc>
          <w:tcPr>
            <w:tcW w:w="840" w:type="dxa"/>
            <w:vAlign w:val="bottom"/>
            <w:tcBorders>
              <w:right w:val="single" w:sz="8" w:color="B2B2B2"/>
            </w:tcBorders>
          </w:tcPr>
          <w:p>
            <w:pPr>
              <w:spacing w:after="0"/>
              <w:rPr>
                <w:sz w:val="14"/>
                <w:szCs w:val="14"/>
                <w:color w:val="auto"/>
              </w:rPr>
            </w:pPr>
          </w:p>
        </w:tc>
        <w:tc>
          <w:tcPr>
            <w:tcW w:w="1180" w:type="dxa"/>
            <w:vAlign w:val="bottom"/>
            <w:tcBorders>
              <w:right w:val="single" w:sz="8" w:color="B2B2B2"/>
            </w:tcBorders>
          </w:tcPr>
          <w:p>
            <w:pPr>
              <w:spacing w:after="0"/>
              <w:rPr>
                <w:sz w:val="14"/>
                <w:szCs w:val="14"/>
                <w:color w:val="auto"/>
              </w:rPr>
            </w:pPr>
          </w:p>
        </w:tc>
        <w:tc>
          <w:tcPr>
            <w:tcW w:w="1300" w:type="dxa"/>
            <w:vAlign w:val="bottom"/>
            <w:tcBorders>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rPr>
              <w:t>UNITS OF</w:t>
            </w: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rPr>
              <w:t>STOCK</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spacing w:after="0"/>
              <w:rPr>
                <w:sz w:val="14"/>
                <w:szCs w:val="14"/>
                <w:color w:val="auto"/>
              </w:rPr>
            </w:pPr>
          </w:p>
        </w:tc>
        <w:tc>
          <w:tcPr>
            <w:tcW w:w="1340" w:type="dxa"/>
            <w:vAlign w:val="bottom"/>
            <w:tcBorders>
              <w:right w:val="single" w:sz="8" w:color="B2B2B2"/>
            </w:tcBorders>
          </w:tcPr>
          <w:p>
            <w:pPr>
              <w:jc w:val="center"/>
              <w:ind w:right="64"/>
              <w:spacing w:after="0"/>
              <w:rPr>
                <w:sz w:val="20"/>
                <w:szCs w:val="20"/>
                <w:color w:val="auto"/>
              </w:rPr>
            </w:pPr>
            <w:r>
              <w:rPr>
                <w:rFonts w:ascii="Arial" w:cs="Arial" w:eastAsia="Arial" w:hAnsi="Arial"/>
                <w:sz w:val="14"/>
                <w:szCs w:val="14"/>
                <w:b w:val="1"/>
                <w:bCs w:val="1"/>
                <w:color w:val="60BAFF"/>
              </w:rPr>
              <w:t>UNEXERCISED</w:t>
            </w:r>
          </w:p>
        </w:tc>
        <w:tc>
          <w:tcPr>
            <w:tcW w:w="1500" w:type="dxa"/>
            <w:vAlign w:val="bottom"/>
            <w:tcBorders>
              <w:right w:val="single" w:sz="8" w:color="B2B2B2"/>
            </w:tcBorders>
          </w:tcPr>
          <w:p>
            <w:pPr>
              <w:jc w:val="center"/>
              <w:ind w:right="310"/>
              <w:spacing w:after="0"/>
              <w:rPr>
                <w:sz w:val="20"/>
                <w:szCs w:val="20"/>
                <w:color w:val="auto"/>
              </w:rPr>
            </w:pPr>
            <w:r>
              <w:rPr>
                <w:rFonts w:ascii="Arial" w:cs="Arial" w:eastAsia="Arial" w:hAnsi="Arial"/>
                <w:sz w:val="14"/>
                <w:szCs w:val="14"/>
                <w:b w:val="1"/>
                <w:bCs w:val="1"/>
                <w:color w:val="60BAFF"/>
              </w:rPr>
              <w:t>UNEXERCISED</w:t>
            </w:r>
          </w:p>
        </w:tc>
        <w:tc>
          <w:tcPr>
            <w:tcW w:w="180" w:type="dxa"/>
            <w:vAlign w:val="bottom"/>
          </w:tcPr>
          <w:p>
            <w:pPr>
              <w:spacing w:after="0"/>
              <w:rPr>
                <w:sz w:val="14"/>
                <w:szCs w:val="14"/>
                <w:color w:val="auto"/>
              </w:rPr>
            </w:pPr>
          </w:p>
        </w:tc>
        <w:tc>
          <w:tcPr>
            <w:tcW w:w="840" w:type="dxa"/>
            <w:vAlign w:val="bottom"/>
            <w:tcBorders>
              <w:right w:val="single" w:sz="8" w:color="B2B2B2"/>
            </w:tcBorders>
          </w:tcPr>
          <w:p>
            <w:pPr>
              <w:jc w:val="center"/>
              <w:ind w:right="222"/>
              <w:spacing w:after="0"/>
              <w:rPr>
                <w:sz w:val="20"/>
                <w:szCs w:val="20"/>
                <w:color w:val="auto"/>
              </w:rPr>
            </w:pPr>
            <w:r>
              <w:rPr>
                <w:rFonts w:ascii="Arial" w:cs="Arial" w:eastAsia="Arial" w:hAnsi="Arial"/>
                <w:sz w:val="14"/>
                <w:szCs w:val="14"/>
                <w:b w:val="1"/>
                <w:bCs w:val="1"/>
                <w:color w:val="60BAFF"/>
              </w:rPr>
              <w:t>OPTION</w:t>
            </w:r>
          </w:p>
        </w:tc>
        <w:tc>
          <w:tcPr>
            <w:tcW w:w="1180" w:type="dxa"/>
            <w:vAlign w:val="bottom"/>
            <w:tcBorders>
              <w:right w:val="single" w:sz="8" w:color="B2B2B2"/>
            </w:tcBorders>
          </w:tcPr>
          <w:p>
            <w:pPr>
              <w:spacing w:after="0"/>
              <w:rPr>
                <w:sz w:val="14"/>
                <w:szCs w:val="14"/>
                <w:color w:val="auto"/>
              </w:rPr>
            </w:pPr>
          </w:p>
        </w:tc>
        <w:tc>
          <w:tcPr>
            <w:tcW w:w="1300" w:type="dxa"/>
            <w:vAlign w:val="bottom"/>
            <w:tcBorders>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rPr>
              <w:t>STOCK THAT</w:t>
            </w:r>
          </w:p>
        </w:tc>
        <w:tc>
          <w:tcPr>
            <w:tcW w:w="1100" w:type="dxa"/>
            <w:vAlign w:val="bottom"/>
          </w:tcPr>
          <w:p>
            <w:pPr>
              <w:jc w:val="center"/>
              <w:ind w:right="25"/>
              <w:spacing w:after="0"/>
              <w:rPr>
                <w:sz w:val="20"/>
                <w:szCs w:val="20"/>
                <w:color w:val="auto"/>
              </w:rPr>
            </w:pPr>
            <w:r>
              <w:rPr>
                <w:rFonts w:ascii="Arial" w:cs="Arial" w:eastAsia="Arial" w:hAnsi="Arial"/>
                <w:sz w:val="14"/>
                <w:szCs w:val="14"/>
                <w:b w:val="1"/>
                <w:bCs w:val="1"/>
                <w:color w:val="60BAFF"/>
                <w:w w:val="99"/>
              </w:rPr>
              <w:t>THAT HAVE</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VESTING</w:t>
            </w:r>
          </w:p>
        </w:tc>
        <w:tc>
          <w:tcPr>
            <w:tcW w:w="1340" w:type="dxa"/>
            <w:vAlign w:val="bottom"/>
            <w:tcBorders>
              <w:right w:val="single" w:sz="8" w:color="B2B2B2"/>
            </w:tcBorders>
          </w:tcPr>
          <w:p>
            <w:pPr>
              <w:jc w:val="center"/>
              <w:ind w:right="44"/>
              <w:spacing w:after="0"/>
              <w:rPr>
                <w:sz w:val="20"/>
                <w:szCs w:val="20"/>
                <w:color w:val="auto"/>
              </w:rPr>
            </w:pPr>
            <w:r>
              <w:rPr>
                <w:rFonts w:ascii="Arial" w:cs="Arial" w:eastAsia="Arial" w:hAnsi="Arial"/>
                <w:sz w:val="14"/>
                <w:szCs w:val="14"/>
                <w:b w:val="1"/>
                <w:bCs w:val="1"/>
                <w:color w:val="60BAFF"/>
              </w:rPr>
              <w:t>OPTIONS</w:t>
            </w:r>
          </w:p>
        </w:tc>
        <w:tc>
          <w:tcPr>
            <w:tcW w:w="1500" w:type="dxa"/>
            <w:vAlign w:val="bottom"/>
            <w:tcBorders>
              <w:right w:val="single" w:sz="8" w:color="B2B2B2"/>
            </w:tcBorders>
          </w:tcPr>
          <w:p>
            <w:pPr>
              <w:jc w:val="center"/>
              <w:ind w:right="310"/>
              <w:spacing w:after="0"/>
              <w:rPr>
                <w:sz w:val="20"/>
                <w:szCs w:val="20"/>
                <w:color w:val="auto"/>
              </w:rPr>
            </w:pPr>
            <w:r>
              <w:rPr>
                <w:rFonts w:ascii="Arial" w:cs="Arial" w:eastAsia="Arial" w:hAnsi="Arial"/>
                <w:sz w:val="14"/>
                <w:szCs w:val="14"/>
                <w:b w:val="1"/>
                <w:bCs w:val="1"/>
                <w:color w:val="60BAFF"/>
              </w:rPr>
              <w:t>OPTIONS</w:t>
            </w:r>
          </w:p>
        </w:tc>
        <w:tc>
          <w:tcPr>
            <w:tcW w:w="1020" w:type="dxa"/>
            <w:vAlign w:val="bottom"/>
            <w:tcBorders>
              <w:right w:val="single" w:sz="8" w:color="B2B2B2"/>
            </w:tcBorders>
            <w:gridSpan w:val="2"/>
          </w:tcPr>
          <w:p>
            <w:pPr>
              <w:ind w:left="80"/>
              <w:spacing w:after="0"/>
              <w:rPr>
                <w:sz w:val="20"/>
                <w:szCs w:val="20"/>
                <w:color w:val="auto"/>
              </w:rPr>
            </w:pPr>
            <w:r>
              <w:rPr>
                <w:rFonts w:ascii="Arial" w:cs="Arial" w:eastAsia="Arial" w:hAnsi="Arial"/>
                <w:sz w:val="14"/>
                <w:szCs w:val="14"/>
                <w:b w:val="1"/>
                <w:bCs w:val="1"/>
                <w:color w:val="60BAFF"/>
              </w:rPr>
              <w:t>EXERCISE</w:t>
            </w:r>
          </w:p>
        </w:tc>
        <w:tc>
          <w:tcPr>
            <w:tcW w:w="1180" w:type="dxa"/>
            <w:vAlign w:val="bottom"/>
            <w:tcBorders>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OPTION</w:t>
            </w:r>
          </w:p>
        </w:tc>
        <w:tc>
          <w:tcPr>
            <w:tcW w:w="1300" w:type="dxa"/>
            <w:vAlign w:val="bottom"/>
            <w:tcBorders>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w w:val="99"/>
              </w:rPr>
              <w:t>HAVE NOT</w:t>
            </w: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rPr>
              <w:t>NOT</w:t>
            </w:r>
          </w:p>
        </w:tc>
        <w:tc>
          <w:tcPr>
            <w:tcW w:w="0" w:type="dxa"/>
            <w:vAlign w:val="bottom"/>
          </w:tcPr>
          <w:p>
            <w:pPr>
              <w:spacing w:after="0"/>
              <w:rPr>
                <w:sz w:val="1"/>
                <w:szCs w:val="1"/>
                <w:color w:val="auto"/>
              </w:rPr>
            </w:pPr>
          </w:p>
        </w:tc>
      </w:tr>
      <w:tr>
        <w:trPr>
          <w:trHeight w:val="162"/>
        </w:trPr>
        <w:tc>
          <w:tcPr>
            <w:tcW w:w="2020" w:type="dxa"/>
            <w:vAlign w:val="bottom"/>
            <w:tcBorders>
              <w:right w:val="single" w:sz="8" w:color="B2B2B2"/>
            </w:tcBorders>
          </w:tcPr>
          <w:p>
            <w:pPr>
              <w:spacing w:after="0"/>
              <w:rPr>
                <w:sz w:val="14"/>
                <w:szCs w:val="14"/>
                <w:color w:val="auto"/>
              </w:rPr>
            </w:pPr>
          </w:p>
        </w:tc>
        <w:tc>
          <w:tcPr>
            <w:tcW w:w="1560" w:type="dxa"/>
            <w:vAlign w:val="bottom"/>
            <w:tcBorders>
              <w:right w:val="single" w:sz="8" w:color="B2B2B2"/>
            </w:tcBorders>
          </w:tcPr>
          <w:p>
            <w:pPr>
              <w:jc w:val="center"/>
              <w:ind w:right="62"/>
              <w:spacing w:after="0"/>
              <w:rPr>
                <w:sz w:val="20"/>
                <w:szCs w:val="20"/>
                <w:color w:val="auto"/>
              </w:rPr>
            </w:pPr>
            <w:r>
              <w:rPr>
                <w:rFonts w:ascii="Arial" w:cs="Arial" w:eastAsia="Arial" w:hAnsi="Arial"/>
                <w:sz w:val="14"/>
                <w:szCs w:val="14"/>
                <w:b w:val="1"/>
                <w:bCs w:val="1"/>
                <w:color w:val="60BAFF"/>
              </w:rPr>
              <w:t>COMMENCEMENT</w:t>
            </w:r>
          </w:p>
        </w:tc>
        <w:tc>
          <w:tcPr>
            <w:tcW w:w="1340" w:type="dxa"/>
            <w:vAlign w:val="bottom"/>
            <w:tcBorders>
              <w:right w:val="single" w:sz="8" w:color="B2B2B2"/>
            </w:tcBorders>
          </w:tcPr>
          <w:p>
            <w:pPr>
              <w:jc w:val="center"/>
              <w:ind w:right="44"/>
              <w:spacing w:after="0"/>
              <w:rPr>
                <w:sz w:val="20"/>
                <w:szCs w:val="20"/>
                <w:color w:val="auto"/>
              </w:rPr>
            </w:pPr>
            <w:r>
              <w:rPr>
                <w:rFonts w:ascii="Arial" w:cs="Arial" w:eastAsia="Arial" w:hAnsi="Arial"/>
                <w:sz w:val="14"/>
                <w:szCs w:val="14"/>
                <w:b w:val="1"/>
                <w:bCs w:val="1"/>
                <w:color w:val="60BAFF"/>
              </w:rPr>
              <w:t>VESTED</w:t>
            </w:r>
          </w:p>
        </w:tc>
        <w:tc>
          <w:tcPr>
            <w:tcW w:w="1500" w:type="dxa"/>
            <w:vAlign w:val="bottom"/>
            <w:tcBorders>
              <w:right w:val="single" w:sz="8" w:color="B2B2B2"/>
            </w:tcBorders>
          </w:tcPr>
          <w:p>
            <w:pPr>
              <w:jc w:val="center"/>
              <w:ind w:right="290"/>
              <w:spacing w:after="0"/>
              <w:rPr>
                <w:sz w:val="20"/>
                <w:szCs w:val="20"/>
                <w:color w:val="auto"/>
              </w:rPr>
            </w:pPr>
            <w:r>
              <w:rPr>
                <w:rFonts w:ascii="Arial" w:cs="Arial" w:eastAsia="Arial" w:hAnsi="Arial"/>
                <w:sz w:val="14"/>
                <w:szCs w:val="14"/>
                <w:b w:val="1"/>
                <w:bCs w:val="1"/>
                <w:color w:val="60BAFF"/>
              </w:rPr>
              <w:t>UNVESTED</w:t>
            </w:r>
          </w:p>
        </w:tc>
        <w:tc>
          <w:tcPr>
            <w:tcW w:w="180" w:type="dxa"/>
            <w:vAlign w:val="bottom"/>
          </w:tcPr>
          <w:p>
            <w:pPr>
              <w:spacing w:after="0"/>
              <w:rPr>
                <w:sz w:val="14"/>
                <w:szCs w:val="14"/>
                <w:color w:val="auto"/>
              </w:rPr>
            </w:pPr>
          </w:p>
        </w:tc>
        <w:tc>
          <w:tcPr>
            <w:tcW w:w="840" w:type="dxa"/>
            <w:vAlign w:val="bottom"/>
            <w:tcBorders>
              <w:right w:val="single" w:sz="8" w:color="B2B2B2"/>
            </w:tcBorders>
          </w:tcPr>
          <w:p>
            <w:pPr>
              <w:jc w:val="center"/>
              <w:ind w:right="242"/>
              <w:spacing w:after="0"/>
              <w:rPr>
                <w:sz w:val="20"/>
                <w:szCs w:val="20"/>
                <w:color w:val="auto"/>
              </w:rPr>
            </w:pPr>
            <w:r>
              <w:rPr>
                <w:rFonts w:ascii="Arial" w:cs="Arial" w:eastAsia="Arial" w:hAnsi="Arial"/>
                <w:sz w:val="14"/>
                <w:szCs w:val="14"/>
                <w:b w:val="1"/>
                <w:bCs w:val="1"/>
                <w:color w:val="60BAFF"/>
              </w:rPr>
              <w:t>PRICE</w:t>
            </w:r>
          </w:p>
        </w:tc>
        <w:tc>
          <w:tcPr>
            <w:tcW w:w="1180" w:type="dxa"/>
            <w:vAlign w:val="bottom"/>
            <w:tcBorders>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rPr>
              <w:t>EXPIRATION</w:t>
            </w:r>
          </w:p>
        </w:tc>
        <w:tc>
          <w:tcPr>
            <w:tcW w:w="1300" w:type="dxa"/>
            <w:vAlign w:val="bottom"/>
            <w:tcBorders>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w w:val="99"/>
              </w:rPr>
              <w:t>VESTED</w:t>
            </w:r>
          </w:p>
        </w:tc>
        <w:tc>
          <w:tcPr>
            <w:tcW w:w="1100" w:type="dxa"/>
            <w:vAlign w:val="bottom"/>
          </w:tcPr>
          <w:p>
            <w:pPr>
              <w:jc w:val="center"/>
              <w:ind w:right="45"/>
              <w:spacing w:after="0"/>
              <w:rPr>
                <w:sz w:val="20"/>
                <w:szCs w:val="20"/>
                <w:color w:val="auto"/>
              </w:rPr>
            </w:pPr>
            <w:r>
              <w:rPr>
                <w:rFonts w:ascii="Arial" w:cs="Arial" w:eastAsia="Arial" w:hAnsi="Arial"/>
                <w:sz w:val="14"/>
                <w:szCs w:val="14"/>
                <w:b w:val="1"/>
                <w:bCs w:val="1"/>
                <w:color w:val="60BAFF"/>
              </w:rPr>
              <w:t>VESTED</w:t>
            </w:r>
          </w:p>
        </w:tc>
        <w:tc>
          <w:tcPr>
            <w:tcW w:w="0" w:type="dxa"/>
            <w:vAlign w:val="bottom"/>
          </w:tcPr>
          <w:p>
            <w:pPr>
              <w:spacing w:after="0"/>
              <w:rPr>
                <w:sz w:val="1"/>
                <w:szCs w:val="1"/>
                <w:color w:val="auto"/>
              </w:rPr>
            </w:pPr>
          </w:p>
        </w:tc>
      </w:tr>
      <w:tr>
        <w:trPr>
          <w:trHeight w:val="252"/>
        </w:trPr>
        <w:tc>
          <w:tcPr>
            <w:tcW w:w="2020" w:type="dxa"/>
            <w:vAlign w:val="bottom"/>
            <w:tcBorders>
              <w:bottom w:val="single" w:sz="8" w:color="60BAFF"/>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w:t>
            </w:r>
          </w:p>
        </w:tc>
        <w:tc>
          <w:tcPr>
            <w:tcW w:w="1560" w:type="dxa"/>
            <w:vAlign w:val="bottom"/>
            <w:tcBorders>
              <w:bottom w:val="single" w:sz="8" w:color="60BAFF"/>
              <w:right w:val="single" w:sz="8" w:color="B2B2B2"/>
            </w:tcBorders>
          </w:tcPr>
          <w:p>
            <w:pPr>
              <w:jc w:val="center"/>
              <w:ind w:right="62"/>
              <w:spacing w:after="0"/>
              <w:rPr>
                <w:sz w:val="20"/>
                <w:szCs w:val="20"/>
                <w:color w:val="auto"/>
              </w:rPr>
            </w:pPr>
            <w:r>
              <w:rPr>
                <w:rFonts w:ascii="Arial" w:cs="Arial" w:eastAsia="Arial" w:hAnsi="Arial"/>
                <w:sz w:val="14"/>
                <w:szCs w:val="14"/>
                <w:b w:val="1"/>
                <w:bCs w:val="1"/>
                <w:color w:val="60BAFF"/>
                <w:w w:val="99"/>
              </w:rPr>
              <w:t>DATE</w:t>
            </w:r>
          </w:p>
        </w:tc>
        <w:tc>
          <w:tcPr>
            <w:tcW w:w="1340" w:type="dxa"/>
            <w:vAlign w:val="bottom"/>
            <w:tcBorders>
              <w:bottom w:val="single" w:sz="8" w:color="60BAFF"/>
              <w:right w:val="single" w:sz="8" w:color="B2B2B2"/>
            </w:tcBorders>
          </w:tcPr>
          <w:p>
            <w:pPr>
              <w:jc w:val="center"/>
              <w:ind w:right="44"/>
              <w:spacing w:after="0"/>
              <w:rPr>
                <w:sz w:val="20"/>
                <w:szCs w:val="20"/>
                <w:color w:val="auto"/>
              </w:rPr>
            </w:pPr>
            <w:r>
              <w:rPr>
                <w:rFonts w:ascii="Arial" w:cs="Arial" w:eastAsia="Arial" w:hAnsi="Arial"/>
                <w:sz w:val="14"/>
                <w:szCs w:val="14"/>
                <w:b w:val="1"/>
                <w:bCs w:val="1"/>
                <w:color w:val="60BAFF"/>
              </w:rPr>
              <w:t>(#)</w:t>
            </w:r>
          </w:p>
        </w:tc>
        <w:tc>
          <w:tcPr>
            <w:tcW w:w="1500" w:type="dxa"/>
            <w:vAlign w:val="bottom"/>
            <w:tcBorders>
              <w:bottom w:val="single" w:sz="8" w:color="60BAFF"/>
              <w:right w:val="single" w:sz="8" w:color="B2B2B2"/>
            </w:tcBorders>
          </w:tcPr>
          <w:p>
            <w:pPr>
              <w:jc w:val="center"/>
              <w:ind w:right="290"/>
              <w:spacing w:after="0"/>
              <w:rPr>
                <w:sz w:val="20"/>
                <w:szCs w:val="20"/>
                <w:color w:val="auto"/>
              </w:rPr>
            </w:pPr>
            <w:r>
              <w:rPr>
                <w:rFonts w:ascii="Arial" w:cs="Arial" w:eastAsia="Arial" w:hAnsi="Arial"/>
                <w:sz w:val="14"/>
                <w:szCs w:val="14"/>
                <w:b w:val="1"/>
                <w:bCs w:val="1"/>
                <w:color w:val="60BAFF"/>
              </w:rPr>
              <w:t>(#)</w:t>
            </w:r>
          </w:p>
        </w:tc>
        <w:tc>
          <w:tcPr>
            <w:tcW w:w="180" w:type="dxa"/>
            <w:vAlign w:val="bottom"/>
            <w:tcBorders>
              <w:bottom w:val="single" w:sz="8" w:color="60BAFF"/>
            </w:tcBorders>
          </w:tcPr>
          <w:p>
            <w:pPr>
              <w:spacing w:after="0"/>
              <w:rPr>
                <w:sz w:val="21"/>
                <w:szCs w:val="21"/>
                <w:color w:val="auto"/>
              </w:rPr>
            </w:pPr>
          </w:p>
        </w:tc>
        <w:tc>
          <w:tcPr>
            <w:tcW w:w="840" w:type="dxa"/>
            <w:vAlign w:val="bottom"/>
            <w:tcBorders>
              <w:bottom w:val="single" w:sz="8" w:color="60BAFF"/>
              <w:right w:val="single" w:sz="8" w:color="B2B2B2"/>
            </w:tcBorders>
          </w:tcPr>
          <w:p>
            <w:pPr>
              <w:jc w:val="center"/>
              <w:ind w:right="222"/>
              <w:spacing w:after="0"/>
              <w:rPr>
                <w:sz w:val="20"/>
                <w:szCs w:val="20"/>
                <w:color w:val="auto"/>
              </w:rPr>
            </w:pPr>
            <w:r>
              <w:rPr>
                <w:rFonts w:ascii="Arial" w:cs="Arial" w:eastAsia="Arial" w:hAnsi="Arial"/>
                <w:sz w:val="14"/>
                <w:szCs w:val="14"/>
                <w:b w:val="1"/>
                <w:bCs w:val="1"/>
                <w:color w:val="60BAFF"/>
              </w:rPr>
              <w:t>($)</w:t>
            </w:r>
          </w:p>
        </w:tc>
        <w:tc>
          <w:tcPr>
            <w:tcW w:w="1180" w:type="dxa"/>
            <w:vAlign w:val="bottom"/>
            <w:tcBorders>
              <w:bottom w:val="single" w:sz="8" w:color="60BAFF"/>
              <w:right w:val="single" w:sz="8" w:color="B2B2B2"/>
            </w:tcBorders>
          </w:tcPr>
          <w:p>
            <w:pPr>
              <w:jc w:val="center"/>
              <w:ind w:right="42"/>
              <w:spacing w:after="0"/>
              <w:rPr>
                <w:sz w:val="20"/>
                <w:szCs w:val="20"/>
                <w:color w:val="auto"/>
              </w:rPr>
            </w:pPr>
            <w:r>
              <w:rPr>
                <w:rFonts w:ascii="Arial" w:cs="Arial" w:eastAsia="Arial" w:hAnsi="Arial"/>
                <w:sz w:val="14"/>
                <w:szCs w:val="14"/>
                <w:b w:val="1"/>
                <w:bCs w:val="1"/>
                <w:color w:val="60BAFF"/>
                <w:w w:val="99"/>
              </w:rPr>
              <w:t>DATE</w:t>
            </w:r>
          </w:p>
        </w:tc>
        <w:tc>
          <w:tcPr>
            <w:tcW w:w="1300" w:type="dxa"/>
            <w:vAlign w:val="bottom"/>
            <w:tcBorders>
              <w:bottom w:val="single" w:sz="8" w:color="60BAFF"/>
              <w:right w:val="single" w:sz="8" w:color="B2B2B2"/>
            </w:tcBorders>
          </w:tcPr>
          <w:p>
            <w:pPr>
              <w:jc w:val="center"/>
              <w:ind w:right="226"/>
              <w:spacing w:after="0"/>
              <w:rPr>
                <w:sz w:val="20"/>
                <w:szCs w:val="20"/>
                <w:color w:val="auto"/>
              </w:rPr>
            </w:pPr>
            <w:r>
              <w:rPr>
                <w:rFonts w:ascii="Arial" w:cs="Arial" w:eastAsia="Arial" w:hAnsi="Arial"/>
                <w:sz w:val="14"/>
                <w:szCs w:val="14"/>
                <w:b w:val="1"/>
                <w:bCs w:val="1"/>
                <w:color w:val="60BAFF"/>
                <w:w w:val="93"/>
              </w:rPr>
              <w:t>(#)</w:t>
            </w:r>
          </w:p>
        </w:tc>
        <w:tc>
          <w:tcPr>
            <w:tcW w:w="1100" w:type="dxa"/>
            <w:vAlign w:val="bottom"/>
            <w:tcBorders>
              <w:bottom w:val="single" w:sz="8" w:color="60BAFF"/>
            </w:tcBorders>
          </w:tcPr>
          <w:p>
            <w:pPr>
              <w:jc w:val="center"/>
              <w:ind w:right="45"/>
              <w:spacing w:after="0" w:line="252" w:lineRule="exact"/>
              <w:rPr>
                <w:sz w:val="20"/>
                <w:szCs w:val="20"/>
                <w:color w:val="auto"/>
              </w:rPr>
            </w:pPr>
            <w:r>
              <w:rPr>
                <w:rFonts w:ascii="Arial" w:cs="Arial" w:eastAsia="Arial" w:hAnsi="Arial"/>
                <w:sz w:val="14"/>
                <w:szCs w:val="14"/>
                <w:b w:val="1"/>
                <w:bCs w:val="1"/>
                <w:color w:val="60BAFF"/>
                <w:w w:val="92"/>
              </w:rPr>
              <w:t>($)</w:t>
            </w:r>
            <w:r>
              <w:rPr>
                <w:rFonts w:ascii="Arial" w:cs="Arial" w:eastAsia="Arial" w:hAnsi="Arial"/>
                <w:sz w:val="24"/>
                <w:szCs w:val="24"/>
                <w:b w:val="1"/>
                <w:bCs w:val="1"/>
                <w:color w:val="60BAFF"/>
                <w:w w:val="92"/>
                <w:vertAlign w:val="superscript"/>
              </w:rPr>
              <w:t>(1)</w:t>
            </w:r>
          </w:p>
        </w:tc>
        <w:tc>
          <w:tcPr>
            <w:tcW w:w="0" w:type="dxa"/>
            <w:vAlign w:val="bottom"/>
          </w:tcPr>
          <w:p>
            <w:pPr>
              <w:spacing w:after="0"/>
              <w:rPr>
                <w:sz w:val="1"/>
                <w:szCs w:val="1"/>
                <w:color w:val="auto"/>
              </w:rPr>
            </w:pPr>
          </w:p>
        </w:tc>
      </w:tr>
      <w:tr>
        <w:trPr>
          <w:trHeight w:val="167"/>
        </w:trPr>
        <w:tc>
          <w:tcPr>
            <w:tcW w:w="2020" w:type="dxa"/>
            <w:vAlign w:val="bottom"/>
            <w:tcBorders>
              <w:right w:val="single" w:sz="8" w:color="B2B2B2"/>
            </w:tcBorders>
          </w:tcPr>
          <w:p>
            <w:pPr>
              <w:ind w:left="60"/>
              <w:spacing w:after="0" w:line="168" w:lineRule="exact"/>
              <w:rPr>
                <w:sz w:val="20"/>
                <w:szCs w:val="20"/>
                <w:color w:val="auto"/>
              </w:rPr>
            </w:pPr>
            <w:r>
              <w:rPr>
                <w:rFonts w:ascii="Arial" w:cs="Arial" w:eastAsia="Arial" w:hAnsi="Arial"/>
                <w:sz w:val="16"/>
                <w:szCs w:val="16"/>
                <w:b w:val="1"/>
                <w:bCs w:val="1"/>
                <w:color w:val="auto"/>
              </w:rPr>
              <w:t>Tim Chen</w:t>
            </w:r>
          </w:p>
        </w:tc>
        <w:tc>
          <w:tcPr>
            <w:tcW w:w="1560" w:type="dxa"/>
            <w:vAlign w:val="bottom"/>
            <w:tcBorders>
              <w:right w:val="single" w:sz="8" w:color="B2B2B2"/>
            </w:tcBorders>
          </w:tcPr>
          <w:p>
            <w:pPr>
              <w:jc w:val="right"/>
              <w:ind w:right="122"/>
              <w:spacing w:after="0" w:line="168" w:lineRule="exact"/>
              <w:rPr>
                <w:sz w:val="20"/>
                <w:szCs w:val="20"/>
                <w:color w:val="auto"/>
              </w:rPr>
            </w:pPr>
            <w:r>
              <w:rPr>
                <w:rFonts w:ascii="Arial" w:cs="Arial" w:eastAsia="Arial" w:hAnsi="Arial"/>
                <w:sz w:val="16"/>
                <w:szCs w:val="16"/>
                <w:b w:val="1"/>
                <w:bCs w:val="1"/>
                <w:color w:val="auto"/>
              </w:rPr>
              <w:t>5/24/2021</w:t>
            </w:r>
          </w:p>
        </w:tc>
        <w:tc>
          <w:tcPr>
            <w:tcW w:w="1340" w:type="dxa"/>
            <w:vAlign w:val="bottom"/>
            <w:tcBorders>
              <w:right w:val="single" w:sz="8" w:color="B2B2B2"/>
            </w:tcBorders>
          </w:tcPr>
          <w:p>
            <w:pPr>
              <w:jc w:val="right"/>
              <w:ind w:right="544"/>
              <w:spacing w:after="0" w:line="168" w:lineRule="exact"/>
              <w:rPr>
                <w:sz w:val="20"/>
                <w:szCs w:val="20"/>
                <w:color w:val="auto"/>
              </w:rPr>
            </w:pPr>
            <w:r>
              <w:rPr>
                <w:rFonts w:ascii="Arial" w:cs="Arial" w:eastAsia="Arial" w:hAnsi="Arial"/>
                <w:sz w:val="16"/>
                <w:szCs w:val="16"/>
                <w:color w:val="auto"/>
              </w:rPr>
              <w:t>—</w:t>
            </w:r>
          </w:p>
        </w:tc>
        <w:tc>
          <w:tcPr>
            <w:tcW w:w="1500" w:type="dxa"/>
            <w:vAlign w:val="bottom"/>
            <w:tcBorders>
              <w:right w:val="single" w:sz="8" w:color="B2B2B2"/>
            </w:tcBorders>
          </w:tcPr>
          <w:p>
            <w:pPr>
              <w:jc w:val="right"/>
              <w:ind w:right="170"/>
              <w:spacing w:after="0" w:line="167" w:lineRule="exact"/>
              <w:rPr>
                <w:sz w:val="20"/>
                <w:szCs w:val="20"/>
                <w:color w:val="auto"/>
              </w:rPr>
            </w:pPr>
            <w:r>
              <w:rPr>
                <w:rFonts w:ascii="Arial" w:cs="Arial" w:eastAsia="Arial" w:hAnsi="Arial"/>
                <w:sz w:val="12"/>
                <w:szCs w:val="12"/>
                <w:color w:val="auto"/>
              </w:rPr>
              <w:t>19,840</w:t>
            </w:r>
            <w:r>
              <w:rPr>
                <w:rFonts w:ascii="Arial" w:cs="Arial" w:eastAsia="Arial" w:hAnsi="Arial"/>
                <w:sz w:val="19"/>
                <w:szCs w:val="19"/>
                <w:color w:val="auto"/>
                <w:vertAlign w:val="superscript"/>
              </w:rPr>
              <w:t>(2)</w:t>
            </w:r>
          </w:p>
        </w:tc>
        <w:tc>
          <w:tcPr>
            <w:tcW w:w="180" w:type="dxa"/>
            <w:vAlign w:val="bottom"/>
          </w:tcPr>
          <w:p>
            <w:pPr>
              <w:ind w:left="80"/>
              <w:spacing w:after="0" w:line="168" w:lineRule="exact"/>
              <w:rPr>
                <w:sz w:val="20"/>
                <w:szCs w:val="20"/>
                <w:color w:val="auto"/>
              </w:rPr>
            </w:pPr>
            <w:r>
              <w:rPr>
                <w:rFonts w:ascii="Arial" w:cs="Arial" w:eastAsia="Arial" w:hAnsi="Arial"/>
                <w:sz w:val="16"/>
                <w:szCs w:val="16"/>
                <w:color w:val="auto"/>
                <w:w w:val="89"/>
              </w:rPr>
              <w:t>$</w:t>
            </w:r>
          </w:p>
        </w:tc>
        <w:tc>
          <w:tcPr>
            <w:tcW w:w="840" w:type="dxa"/>
            <w:vAlign w:val="bottom"/>
            <w:tcBorders>
              <w:right w:val="single" w:sz="8" w:color="B2B2B2"/>
            </w:tcBorders>
          </w:tcPr>
          <w:p>
            <w:pPr>
              <w:jc w:val="right"/>
              <w:ind w:right="122"/>
              <w:spacing w:after="0" w:line="168" w:lineRule="exact"/>
              <w:rPr>
                <w:sz w:val="20"/>
                <w:szCs w:val="20"/>
                <w:color w:val="auto"/>
              </w:rPr>
            </w:pPr>
            <w:r>
              <w:rPr>
                <w:rFonts w:ascii="Arial" w:cs="Arial" w:eastAsia="Arial" w:hAnsi="Arial"/>
                <w:sz w:val="16"/>
                <w:szCs w:val="16"/>
                <w:color w:val="auto"/>
              </w:rPr>
              <w:t>22.18</w:t>
            </w:r>
          </w:p>
        </w:tc>
        <w:tc>
          <w:tcPr>
            <w:tcW w:w="1180" w:type="dxa"/>
            <w:vAlign w:val="bottom"/>
            <w:tcBorders>
              <w:right w:val="single" w:sz="8" w:color="B2B2B2"/>
            </w:tcBorders>
          </w:tcPr>
          <w:p>
            <w:pPr>
              <w:jc w:val="right"/>
              <w:ind w:right="142"/>
              <w:spacing w:after="0" w:line="168" w:lineRule="exact"/>
              <w:rPr>
                <w:sz w:val="20"/>
                <w:szCs w:val="20"/>
                <w:color w:val="auto"/>
              </w:rPr>
            </w:pPr>
            <w:r>
              <w:rPr>
                <w:rFonts w:ascii="Arial" w:cs="Arial" w:eastAsia="Arial" w:hAnsi="Arial"/>
                <w:sz w:val="16"/>
                <w:szCs w:val="16"/>
                <w:color w:val="auto"/>
              </w:rPr>
              <w:t>5/23/2026</w:t>
            </w:r>
          </w:p>
        </w:tc>
        <w:tc>
          <w:tcPr>
            <w:tcW w:w="1300" w:type="dxa"/>
            <w:vAlign w:val="bottom"/>
            <w:tcBorders>
              <w:right w:val="single" w:sz="8" w:color="B2B2B2"/>
            </w:tcBorders>
          </w:tcPr>
          <w:p>
            <w:pPr>
              <w:jc w:val="right"/>
              <w:ind w:right="606"/>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ind w:left="46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20" w:type="dxa"/>
            <w:vAlign w:val="bottom"/>
            <w:tcBorders>
              <w:right w:val="single" w:sz="8" w:color="B2B2B2"/>
            </w:tcBorders>
          </w:tcPr>
          <w:p>
            <w:pPr>
              <w:spacing w:after="0"/>
              <w:rPr>
                <w:sz w:val="17"/>
                <w:szCs w:val="17"/>
                <w:color w:val="auto"/>
              </w:rPr>
            </w:pPr>
          </w:p>
        </w:tc>
        <w:tc>
          <w:tcPr>
            <w:tcW w:w="156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b w:val="1"/>
                <w:bCs w:val="1"/>
                <w:color w:val="auto"/>
              </w:rPr>
              <w:t>5/24/2021</w:t>
            </w:r>
          </w:p>
        </w:tc>
        <w:tc>
          <w:tcPr>
            <w:tcW w:w="1340" w:type="dxa"/>
            <w:vAlign w:val="bottom"/>
            <w:tcBorders>
              <w:right w:val="single" w:sz="8" w:color="B2B2B2"/>
            </w:tcBorders>
          </w:tcPr>
          <w:p>
            <w:pPr>
              <w:jc w:val="right"/>
              <w:ind w:right="544"/>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B2B2B2"/>
            </w:tcBorders>
          </w:tcPr>
          <w:p>
            <w:pPr>
              <w:jc w:val="right"/>
              <w:ind w:right="170"/>
              <w:spacing w:after="0" w:line="204" w:lineRule="exact"/>
              <w:rPr>
                <w:sz w:val="20"/>
                <w:szCs w:val="20"/>
                <w:color w:val="auto"/>
              </w:rPr>
            </w:pPr>
            <w:r>
              <w:rPr>
                <w:rFonts w:ascii="Arial" w:cs="Arial" w:eastAsia="Arial" w:hAnsi="Arial"/>
                <w:sz w:val="14"/>
                <w:szCs w:val="14"/>
                <w:color w:val="auto"/>
              </w:rPr>
              <w:t>455,160</w:t>
            </w:r>
            <w:r>
              <w:rPr>
                <w:rFonts w:ascii="Arial" w:cs="Arial" w:eastAsia="Arial" w:hAnsi="Arial"/>
                <w:sz w:val="23"/>
                <w:szCs w:val="23"/>
                <w:color w:val="auto"/>
                <w:vertAlign w:val="superscript"/>
              </w:rPr>
              <w:t>(2)</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20.16</w:t>
            </w:r>
          </w:p>
        </w:tc>
        <w:tc>
          <w:tcPr>
            <w:tcW w:w="1180" w:type="dxa"/>
            <w:vAlign w:val="bottom"/>
            <w:tcBorders>
              <w:right w:val="single" w:sz="8" w:color="B2B2B2"/>
            </w:tcBorders>
          </w:tcPr>
          <w:p>
            <w:pPr>
              <w:jc w:val="right"/>
              <w:ind w:right="142"/>
              <w:spacing w:after="0"/>
              <w:rPr>
                <w:sz w:val="20"/>
                <w:szCs w:val="20"/>
                <w:color w:val="auto"/>
              </w:rPr>
            </w:pPr>
            <w:r>
              <w:rPr>
                <w:rFonts w:ascii="Arial" w:cs="Arial" w:eastAsia="Arial" w:hAnsi="Arial"/>
                <w:sz w:val="16"/>
                <w:szCs w:val="16"/>
                <w:color w:val="auto"/>
              </w:rPr>
              <w:t>5/23/2031</w:t>
            </w:r>
          </w:p>
        </w:tc>
        <w:tc>
          <w:tcPr>
            <w:tcW w:w="1300" w:type="dxa"/>
            <w:vAlign w:val="bottom"/>
            <w:tcBorders>
              <w:right w:val="single" w:sz="8" w:color="B2B2B2"/>
            </w:tcBorders>
          </w:tcPr>
          <w:p>
            <w:pPr>
              <w:jc w:val="right"/>
              <w:ind w:right="606"/>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2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John Caine</w:t>
            </w:r>
          </w:p>
        </w:tc>
        <w:tc>
          <w:tcPr>
            <w:tcW w:w="1560" w:type="dxa"/>
            <w:vAlign w:val="bottom"/>
            <w:tcBorders>
              <w:right w:val="single" w:sz="8" w:color="B2B2B2"/>
            </w:tcBorders>
            <w:shd w:val="clear" w:color="auto" w:fill="F2FFFF"/>
          </w:tcPr>
          <w:p>
            <w:pPr>
              <w:jc w:val="right"/>
              <w:ind w:right="122"/>
              <w:spacing w:after="0"/>
              <w:rPr>
                <w:sz w:val="20"/>
                <w:szCs w:val="20"/>
                <w:color w:val="auto"/>
              </w:rPr>
            </w:pPr>
            <w:r>
              <w:rPr>
                <w:rFonts w:ascii="Arial" w:cs="Arial" w:eastAsia="Arial" w:hAnsi="Arial"/>
                <w:sz w:val="16"/>
                <w:szCs w:val="16"/>
                <w:b w:val="1"/>
                <w:bCs w:val="1"/>
                <w:color w:val="auto"/>
              </w:rPr>
              <w:t>12/23/2021</w:t>
            </w:r>
          </w:p>
        </w:tc>
        <w:tc>
          <w:tcPr>
            <w:tcW w:w="1340" w:type="dxa"/>
            <w:vAlign w:val="bottom"/>
            <w:tcBorders>
              <w:right w:val="single" w:sz="8" w:color="B2B2B2"/>
            </w:tcBorders>
            <w:shd w:val="clear" w:color="auto" w:fill="F2FFFF"/>
          </w:tcPr>
          <w:p>
            <w:pPr>
              <w:jc w:val="right"/>
              <w:ind w:right="544"/>
              <w:spacing w:after="0"/>
              <w:rPr>
                <w:sz w:val="20"/>
                <w:szCs w:val="20"/>
                <w:color w:val="auto"/>
              </w:rPr>
            </w:pPr>
            <w:r>
              <w:rPr>
                <w:rFonts w:ascii="Arial" w:cs="Arial" w:eastAsia="Arial" w:hAnsi="Arial"/>
                <w:sz w:val="16"/>
                <w:szCs w:val="16"/>
                <w:color w:val="auto"/>
              </w:rPr>
              <w:t>—</w:t>
            </w:r>
          </w:p>
        </w:tc>
        <w:tc>
          <w:tcPr>
            <w:tcW w:w="1500" w:type="dxa"/>
            <w:vAlign w:val="bottom"/>
            <w:tcBorders>
              <w:right w:val="single" w:sz="8" w:color="B2B2B2"/>
            </w:tcBorders>
            <w:shd w:val="clear" w:color="auto" w:fill="F2FFFF"/>
          </w:tcPr>
          <w:p>
            <w:pPr>
              <w:jc w:val="right"/>
              <w:ind w:right="170"/>
              <w:spacing w:after="0" w:line="189" w:lineRule="exact"/>
              <w:rPr>
                <w:sz w:val="20"/>
                <w:szCs w:val="20"/>
                <w:color w:val="auto"/>
              </w:rPr>
            </w:pPr>
            <w:r>
              <w:rPr>
                <w:rFonts w:ascii="Arial" w:cs="Arial" w:eastAsia="Arial" w:hAnsi="Arial"/>
                <w:sz w:val="13"/>
                <w:szCs w:val="13"/>
                <w:color w:val="auto"/>
              </w:rPr>
              <w:t>274,014</w:t>
            </w:r>
            <w:r>
              <w:rPr>
                <w:rFonts w:ascii="Arial" w:cs="Arial" w:eastAsia="Arial" w:hAnsi="Arial"/>
                <w:sz w:val="21"/>
                <w:szCs w:val="21"/>
                <w:color w:val="auto"/>
                <w:vertAlign w:val="superscript"/>
              </w:rPr>
              <w:t>(2)</w:t>
            </w:r>
          </w:p>
        </w:tc>
        <w:tc>
          <w:tcPr>
            <w:tcW w:w="180" w:type="dxa"/>
            <w:vAlign w:val="bottom"/>
            <w:shd w:val="clear" w:color="auto" w:fill="F2FFFF"/>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B2B2B2"/>
            </w:tcBorders>
            <w:shd w:val="clear" w:color="auto" w:fill="F2FFFF"/>
          </w:tcPr>
          <w:p>
            <w:pPr>
              <w:jc w:val="right"/>
              <w:ind w:right="122"/>
              <w:spacing w:after="0"/>
              <w:rPr>
                <w:sz w:val="20"/>
                <w:szCs w:val="20"/>
                <w:color w:val="auto"/>
              </w:rPr>
            </w:pPr>
            <w:r>
              <w:rPr>
                <w:rFonts w:ascii="Arial" w:cs="Arial" w:eastAsia="Arial" w:hAnsi="Arial"/>
                <w:sz w:val="16"/>
                <w:szCs w:val="16"/>
                <w:color w:val="auto"/>
              </w:rPr>
              <w:t>15.01</w:t>
            </w:r>
          </w:p>
        </w:tc>
        <w:tc>
          <w:tcPr>
            <w:tcW w:w="1180" w:type="dxa"/>
            <w:vAlign w:val="bottom"/>
            <w:tcBorders>
              <w:right w:val="single" w:sz="8" w:color="B2B2B2"/>
            </w:tcBorders>
            <w:shd w:val="clear" w:color="auto" w:fill="F2FFFF"/>
          </w:tcPr>
          <w:p>
            <w:pPr>
              <w:jc w:val="right"/>
              <w:ind w:right="142"/>
              <w:spacing w:after="0"/>
              <w:rPr>
                <w:sz w:val="20"/>
                <w:szCs w:val="20"/>
                <w:color w:val="auto"/>
              </w:rPr>
            </w:pPr>
            <w:r>
              <w:rPr>
                <w:rFonts w:ascii="Arial" w:cs="Arial" w:eastAsia="Arial" w:hAnsi="Arial"/>
                <w:sz w:val="16"/>
                <w:szCs w:val="16"/>
                <w:color w:val="auto"/>
              </w:rPr>
              <w:t>12/22/2031</w:t>
            </w:r>
          </w:p>
        </w:tc>
        <w:tc>
          <w:tcPr>
            <w:tcW w:w="1300" w:type="dxa"/>
            <w:vAlign w:val="bottom"/>
            <w:tcBorders>
              <w:right w:val="single" w:sz="8" w:color="B2B2B2"/>
            </w:tcBorders>
            <w:shd w:val="clear" w:color="auto" w:fill="F2FFFF"/>
          </w:tcPr>
          <w:p>
            <w:pPr>
              <w:jc w:val="right"/>
              <w:ind w:right="106"/>
              <w:spacing w:after="0" w:line="189" w:lineRule="exact"/>
              <w:rPr>
                <w:sz w:val="20"/>
                <w:szCs w:val="20"/>
                <w:color w:val="auto"/>
              </w:rPr>
            </w:pPr>
            <w:r>
              <w:rPr>
                <w:rFonts w:ascii="Arial" w:cs="Arial" w:eastAsia="Arial" w:hAnsi="Arial"/>
                <w:sz w:val="13"/>
                <w:szCs w:val="13"/>
                <w:color w:val="auto"/>
              </w:rPr>
              <w:t>165,962</w:t>
            </w:r>
            <w:r>
              <w:rPr>
                <w:rFonts w:ascii="Arial" w:cs="Arial" w:eastAsia="Arial" w:hAnsi="Arial"/>
                <w:sz w:val="21"/>
                <w:szCs w:val="21"/>
                <w:color w:val="auto"/>
                <w:vertAlign w:val="superscript"/>
              </w:rPr>
              <w:t>(3)</w:t>
            </w:r>
          </w:p>
        </w:tc>
        <w:tc>
          <w:tcPr>
            <w:tcW w:w="1100" w:type="dxa"/>
            <w:vAlign w:val="bottom"/>
            <w:shd w:val="clear" w:color="auto" w:fill="F2FFFF"/>
          </w:tcPr>
          <w:p>
            <w:pPr>
              <w:jc w:val="center"/>
              <w:ind w:right="45"/>
              <w:spacing w:after="0"/>
              <w:rPr>
                <w:sz w:val="20"/>
                <w:szCs w:val="20"/>
                <w:color w:val="auto"/>
              </w:rPr>
            </w:pPr>
            <w:r>
              <w:rPr>
                <w:rFonts w:ascii="Arial" w:cs="Arial" w:eastAsia="Arial" w:hAnsi="Arial"/>
                <w:sz w:val="16"/>
                <w:szCs w:val="16"/>
                <w:color w:val="auto"/>
              </w:rPr>
              <w:t>$2,580,709</w:t>
            </w:r>
          </w:p>
        </w:tc>
        <w:tc>
          <w:tcPr>
            <w:tcW w:w="0" w:type="dxa"/>
            <w:vAlign w:val="bottom"/>
          </w:tcPr>
          <w:p>
            <w:pPr>
              <w:spacing w:after="0"/>
              <w:rPr>
                <w:sz w:val="1"/>
                <w:szCs w:val="1"/>
                <w:color w:val="auto"/>
              </w:rPr>
            </w:pPr>
          </w:p>
        </w:tc>
      </w:tr>
      <w:tr>
        <w:trPr>
          <w:trHeight w:val="174"/>
        </w:trPr>
        <w:tc>
          <w:tcPr>
            <w:tcW w:w="2020" w:type="dxa"/>
            <w:vAlign w:val="bottom"/>
            <w:tcBorders>
              <w:right w:val="single" w:sz="8" w:color="B2B2B2"/>
            </w:tcBorders>
          </w:tcPr>
          <w:p>
            <w:pPr>
              <w:ind w:left="60"/>
              <w:spacing w:after="0" w:line="174" w:lineRule="exact"/>
              <w:rPr>
                <w:sz w:val="20"/>
                <w:szCs w:val="20"/>
                <w:color w:val="auto"/>
              </w:rPr>
            </w:pPr>
            <w:r>
              <w:rPr>
                <w:rFonts w:ascii="Arial" w:cs="Arial" w:eastAsia="Arial" w:hAnsi="Arial"/>
                <w:sz w:val="16"/>
                <w:szCs w:val="16"/>
                <w:b w:val="1"/>
                <w:bCs w:val="1"/>
                <w:color w:val="auto"/>
              </w:rPr>
              <w:t>Kelly Gillease</w:t>
            </w:r>
          </w:p>
        </w:tc>
        <w:tc>
          <w:tcPr>
            <w:tcW w:w="1560" w:type="dxa"/>
            <w:vAlign w:val="bottom"/>
            <w:tcBorders>
              <w:right w:val="single" w:sz="8" w:color="B2B2B2"/>
            </w:tcBorders>
          </w:tcPr>
          <w:p>
            <w:pPr>
              <w:jc w:val="right"/>
              <w:ind w:right="122"/>
              <w:spacing w:after="0" w:line="174" w:lineRule="exact"/>
              <w:rPr>
                <w:sz w:val="20"/>
                <w:szCs w:val="20"/>
                <w:color w:val="auto"/>
              </w:rPr>
            </w:pPr>
            <w:r>
              <w:rPr>
                <w:rFonts w:ascii="Arial" w:cs="Arial" w:eastAsia="Arial" w:hAnsi="Arial"/>
                <w:sz w:val="16"/>
                <w:szCs w:val="16"/>
                <w:b w:val="1"/>
                <w:bCs w:val="1"/>
                <w:color w:val="auto"/>
              </w:rPr>
              <w:t>8/20/2018</w:t>
            </w:r>
          </w:p>
        </w:tc>
        <w:tc>
          <w:tcPr>
            <w:tcW w:w="1340" w:type="dxa"/>
            <w:vAlign w:val="bottom"/>
            <w:tcBorders>
              <w:right w:val="single" w:sz="8" w:color="B2B2B2"/>
            </w:tcBorders>
          </w:tcPr>
          <w:p>
            <w:pPr>
              <w:jc w:val="right"/>
              <w:ind w:right="144"/>
              <w:spacing w:after="0" w:line="174" w:lineRule="exact"/>
              <w:rPr>
                <w:sz w:val="20"/>
                <w:szCs w:val="20"/>
                <w:color w:val="auto"/>
              </w:rPr>
            </w:pPr>
            <w:r>
              <w:rPr>
                <w:rFonts w:ascii="Arial" w:cs="Arial" w:eastAsia="Arial" w:hAnsi="Arial"/>
                <w:sz w:val="16"/>
                <w:szCs w:val="16"/>
                <w:color w:val="auto"/>
              </w:rPr>
              <w:t>233,336</w:t>
            </w:r>
          </w:p>
        </w:tc>
        <w:tc>
          <w:tcPr>
            <w:tcW w:w="1500" w:type="dxa"/>
            <w:vAlign w:val="bottom"/>
            <w:tcBorders>
              <w:right w:val="single" w:sz="8" w:color="B2B2B2"/>
            </w:tcBorders>
          </w:tcPr>
          <w:p>
            <w:pPr>
              <w:jc w:val="right"/>
              <w:ind w:right="10"/>
              <w:spacing w:after="0" w:line="174" w:lineRule="exact"/>
              <w:rPr>
                <w:sz w:val="20"/>
                <w:szCs w:val="20"/>
                <w:color w:val="auto"/>
              </w:rPr>
            </w:pPr>
            <w:r>
              <w:rPr>
                <w:rFonts w:ascii="Arial" w:cs="Arial" w:eastAsia="Arial" w:hAnsi="Arial"/>
                <w:sz w:val="13"/>
                <w:szCs w:val="13"/>
                <w:color w:val="auto"/>
              </w:rPr>
              <w:t>46,664</w:t>
            </w:r>
            <w:r>
              <w:rPr>
                <w:rFonts w:ascii="Arial" w:cs="Arial" w:eastAsia="Arial" w:hAnsi="Arial"/>
                <w:sz w:val="20"/>
                <w:szCs w:val="20"/>
                <w:color w:val="auto"/>
                <w:vertAlign w:val="superscript"/>
              </w:rPr>
              <w:t>(2)(4)</w:t>
            </w:r>
          </w:p>
        </w:tc>
        <w:tc>
          <w:tcPr>
            <w:tcW w:w="180" w:type="dxa"/>
            <w:vAlign w:val="bottom"/>
          </w:tcPr>
          <w:p>
            <w:pPr>
              <w:ind w:left="80"/>
              <w:spacing w:after="0" w:line="174" w:lineRule="exact"/>
              <w:rPr>
                <w:sz w:val="20"/>
                <w:szCs w:val="20"/>
                <w:color w:val="auto"/>
              </w:rPr>
            </w:pPr>
            <w:r>
              <w:rPr>
                <w:rFonts w:ascii="Arial" w:cs="Arial" w:eastAsia="Arial" w:hAnsi="Arial"/>
                <w:sz w:val="16"/>
                <w:szCs w:val="16"/>
                <w:color w:val="auto"/>
                <w:w w:val="89"/>
              </w:rPr>
              <w:t>$</w:t>
            </w:r>
          </w:p>
        </w:tc>
        <w:tc>
          <w:tcPr>
            <w:tcW w:w="840" w:type="dxa"/>
            <w:vAlign w:val="bottom"/>
            <w:tcBorders>
              <w:right w:val="single" w:sz="8" w:color="B2B2B2"/>
            </w:tcBorders>
          </w:tcPr>
          <w:p>
            <w:pPr>
              <w:jc w:val="right"/>
              <w:ind w:right="122"/>
              <w:spacing w:after="0" w:line="174" w:lineRule="exact"/>
              <w:rPr>
                <w:sz w:val="20"/>
                <w:szCs w:val="20"/>
                <w:color w:val="auto"/>
              </w:rPr>
            </w:pPr>
            <w:r>
              <w:rPr>
                <w:rFonts w:ascii="Arial" w:cs="Arial" w:eastAsia="Arial" w:hAnsi="Arial"/>
                <w:sz w:val="16"/>
                <w:szCs w:val="16"/>
                <w:color w:val="auto"/>
              </w:rPr>
              <w:t>7.42</w:t>
            </w:r>
          </w:p>
        </w:tc>
        <w:tc>
          <w:tcPr>
            <w:tcW w:w="1180" w:type="dxa"/>
            <w:vAlign w:val="bottom"/>
            <w:tcBorders>
              <w:right w:val="single" w:sz="8" w:color="B2B2B2"/>
            </w:tcBorders>
          </w:tcPr>
          <w:p>
            <w:pPr>
              <w:jc w:val="right"/>
              <w:ind w:right="142"/>
              <w:spacing w:after="0" w:line="174" w:lineRule="exact"/>
              <w:rPr>
                <w:sz w:val="20"/>
                <w:szCs w:val="20"/>
                <w:color w:val="auto"/>
              </w:rPr>
            </w:pPr>
            <w:r>
              <w:rPr>
                <w:rFonts w:ascii="Arial" w:cs="Arial" w:eastAsia="Arial" w:hAnsi="Arial"/>
                <w:sz w:val="16"/>
                <w:szCs w:val="16"/>
                <w:color w:val="auto"/>
              </w:rPr>
              <w:t>10/24/2028</w:t>
            </w:r>
          </w:p>
        </w:tc>
        <w:tc>
          <w:tcPr>
            <w:tcW w:w="1300" w:type="dxa"/>
            <w:vAlign w:val="bottom"/>
            <w:tcBorders>
              <w:right w:val="single" w:sz="8" w:color="B2B2B2"/>
            </w:tcBorders>
          </w:tcPr>
          <w:p>
            <w:pPr>
              <w:jc w:val="right"/>
              <w:ind w:right="606"/>
              <w:spacing w:after="0" w:line="174" w:lineRule="exact"/>
              <w:rPr>
                <w:sz w:val="20"/>
                <w:szCs w:val="20"/>
                <w:color w:val="auto"/>
              </w:rPr>
            </w:pPr>
            <w:r>
              <w:rPr>
                <w:rFonts w:ascii="Arial" w:cs="Arial" w:eastAsia="Arial" w:hAnsi="Arial"/>
                <w:sz w:val="16"/>
                <w:szCs w:val="16"/>
                <w:color w:val="auto"/>
              </w:rPr>
              <w:t>—</w:t>
            </w:r>
          </w:p>
        </w:tc>
        <w:tc>
          <w:tcPr>
            <w:tcW w:w="1100" w:type="dxa"/>
            <w:vAlign w:val="bottom"/>
          </w:tcPr>
          <w:p>
            <w:pPr>
              <w:ind w:left="460"/>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20" w:type="dxa"/>
            <w:vAlign w:val="bottom"/>
            <w:tcBorders>
              <w:right w:val="single" w:sz="8" w:color="B2B2B2"/>
            </w:tcBorders>
          </w:tcPr>
          <w:p>
            <w:pPr>
              <w:spacing w:after="0"/>
              <w:rPr>
                <w:sz w:val="16"/>
                <w:szCs w:val="16"/>
                <w:color w:val="auto"/>
              </w:rPr>
            </w:pPr>
          </w:p>
        </w:tc>
        <w:tc>
          <w:tcPr>
            <w:tcW w:w="156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b w:val="1"/>
                <w:bCs w:val="1"/>
                <w:color w:val="auto"/>
              </w:rPr>
              <w:t>9/1/2019</w:t>
            </w:r>
          </w:p>
        </w:tc>
        <w:tc>
          <w:tcPr>
            <w:tcW w:w="1340" w:type="dxa"/>
            <w:vAlign w:val="bottom"/>
            <w:tcBorders>
              <w:right w:val="single" w:sz="8" w:color="B2B2B2"/>
            </w:tcBorders>
          </w:tcPr>
          <w:p>
            <w:pPr>
              <w:jc w:val="right"/>
              <w:ind w:right="144"/>
              <w:spacing w:after="0"/>
              <w:rPr>
                <w:sz w:val="20"/>
                <w:szCs w:val="20"/>
                <w:color w:val="auto"/>
              </w:rPr>
            </w:pPr>
            <w:r>
              <w:rPr>
                <w:rFonts w:ascii="Arial" w:cs="Arial" w:eastAsia="Arial" w:hAnsi="Arial"/>
                <w:sz w:val="16"/>
                <w:szCs w:val="16"/>
                <w:color w:val="auto"/>
              </w:rPr>
              <w:t>18,327</w:t>
            </w:r>
          </w:p>
        </w:tc>
        <w:tc>
          <w:tcPr>
            <w:tcW w:w="1500" w:type="dxa"/>
            <w:vAlign w:val="bottom"/>
            <w:tcBorders>
              <w:right w:val="single" w:sz="8" w:color="B2B2B2"/>
            </w:tcBorders>
          </w:tcPr>
          <w:p>
            <w:pPr>
              <w:jc w:val="right"/>
              <w:ind w:right="10"/>
              <w:spacing w:after="0" w:line="189" w:lineRule="exact"/>
              <w:rPr>
                <w:sz w:val="20"/>
                <w:szCs w:val="20"/>
                <w:color w:val="auto"/>
              </w:rPr>
            </w:pPr>
            <w:r>
              <w:rPr>
                <w:rFonts w:ascii="Arial" w:cs="Arial" w:eastAsia="Arial" w:hAnsi="Arial"/>
                <w:sz w:val="13"/>
                <w:szCs w:val="13"/>
                <w:color w:val="auto"/>
              </w:rPr>
              <w:t>21,869</w:t>
            </w:r>
            <w:r>
              <w:rPr>
                <w:rFonts w:ascii="Arial" w:cs="Arial" w:eastAsia="Arial" w:hAnsi="Arial"/>
                <w:sz w:val="21"/>
                <w:szCs w:val="21"/>
                <w:color w:val="auto"/>
                <w:vertAlign w:val="superscript"/>
              </w:rPr>
              <w:t>(4)(5)</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right w:val="single" w:sz="8" w:color="B2B2B2"/>
            </w:tcBorders>
          </w:tcPr>
          <w:p>
            <w:pPr>
              <w:jc w:val="right"/>
              <w:ind w:right="122"/>
              <w:spacing w:after="0"/>
              <w:rPr>
                <w:sz w:val="20"/>
                <w:szCs w:val="20"/>
                <w:color w:val="auto"/>
              </w:rPr>
            </w:pPr>
            <w:r>
              <w:rPr>
                <w:rFonts w:ascii="Arial" w:cs="Arial" w:eastAsia="Arial" w:hAnsi="Arial"/>
                <w:sz w:val="16"/>
                <w:szCs w:val="16"/>
                <w:color w:val="auto"/>
              </w:rPr>
              <w:t>10.20</w:t>
            </w:r>
          </w:p>
        </w:tc>
        <w:tc>
          <w:tcPr>
            <w:tcW w:w="1180" w:type="dxa"/>
            <w:vAlign w:val="bottom"/>
            <w:tcBorders>
              <w:right w:val="single" w:sz="8" w:color="B2B2B2"/>
            </w:tcBorders>
          </w:tcPr>
          <w:p>
            <w:pPr>
              <w:jc w:val="right"/>
              <w:ind w:right="142"/>
              <w:spacing w:after="0"/>
              <w:rPr>
                <w:sz w:val="20"/>
                <w:szCs w:val="20"/>
                <w:color w:val="auto"/>
              </w:rPr>
            </w:pPr>
            <w:r>
              <w:rPr>
                <w:rFonts w:ascii="Arial" w:cs="Arial" w:eastAsia="Arial" w:hAnsi="Arial"/>
                <w:sz w:val="16"/>
                <w:szCs w:val="16"/>
                <w:color w:val="auto"/>
              </w:rPr>
              <w:t>9/24/2029</w:t>
            </w:r>
          </w:p>
        </w:tc>
        <w:tc>
          <w:tcPr>
            <w:tcW w:w="1300" w:type="dxa"/>
            <w:vAlign w:val="bottom"/>
            <w:tcBorders>
              <w:right w:val="single" w:sz="8" w:color="B2B2B2"/>
            </w:tcBorders>
          </w:tcPr>
          <w:p>
            <w:pPr>
              <w:jc w:val="right"/>
              <w:ind w:right="606"/>
              <w:spacing w:after="0"/>
              <w:rPr>
                <w:sz w:val="20"/>
                <w:szCs w:val="20"/>
                <w:color w:val="auto"/>
              </w:rPr>
            </w:pPr>
            <w:r>
              <w:rPr>
                <w:rFonts w:ascii="Arial" w:cs="Arial" w:eastAsia="Arial" w:hAnsi="Arial"/>
                <w:sz w:val="16"/>
                <w:szCs w:val="16"/>
                <w:color w:val="auto"/>
              </w:rPr>
              <w:t>—</w:t>
            </w:r>
          </w:p>
        </w:tc>
        <w:tc>
          <w:tcPr>
            <w:tcW w:w="1100" w:type="dxa"/>
            <w:vAlign w:val="bottom"/>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20" w:type="dxa"/>
            <w:vAlign w:val="bottom"/>
            <w:tcBorders>
              <w:bottom w:val="single" w:sz="8" w:color="B2B2B2"/>
              <w:right w:val="single" w:sz="8" w:color="B2B2B2"/>
            </w:tcBorders>
          </w:tcPr>
          <w:p>
            <w:pPr>
              <w:spacing w:after="0"/>
              <w:rPr>
                <w:sz w:val="17"/>
                <w:szCs w:val="17"/>
                <w:color w:val="auto"/>
              </w:rPr>
            </w:pPr>
          </w:p>
        </w:tc>
        <w:tc>
          <w:tcPr>
            <w:tcW w:w="1560" w:type="dxa"/>
            <w:vAlign w:val="bottom"/>
            <w:tcBorders>
              <w:bottom w:val="single" w:sz="8" w:color="B2B2B2"/>
              <w:right w:val="single" w:sz="8" w:color="B2B2B2"/>
            </w:tcBorders>
          </w:tcPr>
          <w:p>
            <w:pPr>
              <w:jc w:val="right"/>
              <w:ind w:right="122"/>
              <w:spacing w:after="0"/>
              <w:rPr>
                <w:sz w:val="20"/>
                <w:szCs w:val="20"/>
                <w:color w:val="auto"/>
              </w:rPr>
            </w:pPr>
            <w:r>
              <w:rPr>
                <w:rFonts w:ascii="Arial" w:cs="Arial" w:eastAsia="Arial" w:hAnsi="Arial"/>
                <w:sz w:val="16"/>
                <w:szCs w:val="16"/>
                <w:b w:val="1"/>
                <w:bCs w:val="1"/>
                <w:color w:val="auto"/>
              </w:rPr>
              <w:t>4/1/2021</w:t>
            </w:r>
          </w:p>
        </w:tc>
        <w:tc>
          <w:tcPr>
            <w:tcW w:w="1340" w:type="dxa"/>
            <w:vAlign w:val="bottom"/>
            <w:tcBorders>
              <w:bottom w:val="single" w:sz="8" w:color="B2B2B2"/>
              <w:right w:val="single" w:sz="8" w:color="B2B2B2"/>
            </w:tcBorders>
          </w:tcPr>
          <w:p>
            <w:pPr>
              <w:jc w:val="right"/>
              <w:ind w:right="544"/>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B2B2B2"/>
              <w:right w:val="single" w:sz="8" w:color="B2B2B2"/>
            </w:tcBorders>
          </w:tcPr>
          <w:p>
            <w:pPr>
              <w:jc w:val="right"/>
              <w:ind w:right="10"/>
              <w:spacing w:after="0"/>
              <w:rPr>
                <w:sz w:val="20"/>
                <w:szCs w:val="20"/>
                <w:color w:val="auto"/>
              </w:rPr>
            </w:pPr>
            <w:r>
              <w:rPr>
                <w:rFonts w:ascii="Arial" w:cs="Arial" w:eastAsia="Arial" w:hAnsi="Arial"/>
                <w:sz w:val="16"/>
                <w:szCs w:val="16"/>
                <w:color w:val="auto"/>
              </w:rPr>
              <w:t>35,274</w:t>
            </w:r>
            <w:r>
              <w:rPr>
                <w:rFonts w:ascii="Arial" w:cs="Arial" w:eastAsia="Arial" w:hAnsi="Arial"/>
                <w:sz w:val="13"/>
                <w:szCs w:val="13"/>
                <w:color w:val="auto"/>
              </w:rPr>
              <w:t>(4)(5)</w:t>
            </w:r>
          </w:p>
        </w:tc>
        <w:tc>
          <w:tcPr>
            <w:tcW w:w="180" w:type="dxa"/>
            <w:vAlign w:val="bottom"/>
            <w:tcBorders>
              <w:bottom w:val="single" w:sz="8" w:color="B2B2B2"/>
            </w:tcBorders>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B2B2B2"/>
              <w:right w:val="single" w:sz="8" w:color="B2B2B2"/>
            </w:tcBorders>
          </w:tcPr>
          <w:p>
            <w:pPr>
              <w:jc w:val="right"/>
              <w:ind w:right="122"/>
              <w:spacing w:after="0"/>
              <w:rPr>
                <w:sz w:val="20"/>
                <w:szCs w:val="20"/>
                <w:color w:val="auto"/>
              </w:rPr>
            </w:pPr>
            <w:r>
              <w:rPr>
                <w:rFonts w:ascii="Arial" w:cs="Arial" w:eastAsia="Arial" w:hAnsi="Arial"/>
                <w:sz w:val="16"/>
                <w:szCs w:val="16"/>
                <w:color w:val="auto"/>
              </w:rPr>
              <w:t>14.00</w:t>
            </w:r>
          </w:p>
        </w:tc>
        <w:tc>
          <w:tcPr>
            <w:tcW w:w="1180" w:type="dxa"/>
            <w:vAlign w:val="bottom"/>
            <w:tcBorders>
              <w:bottom w:val="single" w:sz="8" w:color="B2B2B2"/>
              <w:right w:val="single" w:sz="8" w:color="B2B2B2"/>
            </w:tcBorders>
          </w:tcPr>
          <w:p>
            <w:pPr>
              <w:jc w:val="right"/>
              <w:ind w:right="142"/>
              <w:spacing w:after="0"/>
              <w:rPr>
                <w:sz w:val="20"/>
                <w:szCs w:val="20"/>
                <w:color w:val="auto"/>
              </w:rPr>
            </w:pPr>
            <w:r>
              <w:rPr>
                <w:rFonts w:ascii="Arial" w:cs="Arial" w:eastAsia="Arial" w:hAnsi="Arial"/>
                <w:sz w:val="16"/>
                <w:szCs w:val="16"/>
                <w:color w:val="auto"/>
              </w:rPr>
              <w:t>3/28/2031</w:t>
            </w:r>
          </w:p>
        </w:tc>
        <w:tc>
          <w:tcPr>
            <w:tcW w:w="1300" w:type="dxa"/>
            <w:vAlign w:val="bottom"/>
            <w:tcBorders>
              <w:bottom w:val="single" w:sz="8" w:color="B2B2B2"/>
              <w:right w:val="single" w:sz="8" w:color="B2B2B2"/>
            </w:tcBorders>
          </w:tcPr>
          <w:p>
            <w:pPr>
              <w:jc w:val="right"/>
              <w:ind w:right="106"/>
              <w:spacing w:after="0" w:line="204" w:lineRule="exact"/>
              <w:rPr>
                <w:sz w:val="20"/>
                <w:szCs w:val="20"/>
                <w:color w:val="auto"/>
              </w:rPr>
            </w:pPr>
            <w:r>
              <w:rPr>
                <w:rFonts w:ascii="Arial" w:cs="Arial" w:eastAsia="Arial" w:hAnsi="Arial"/>
                <w:sz w:val="14"/>
                <w:szCs w:val="14"/>
                <w:color w:val="auto"/>
              </w:rPr>
              <w:t>81,680</w:t>
            </w:r>
            <w:r>
              <w:rPr>
                <w:rFonts w:ascii="Arial" w:cs="Arial" w:eastAsia="Arial" w:hAnsi="Arial"/>
                <w:sz w:val="23"/>
                <w:szCs w:val="23"/>
                <w:color w:val="auto"/>
                <w:vertAlign w:val="superscript"/>
              </w:rPr>
              <w:t>(6)</w:t>
            </w:r>
          </w:p>
        </w:tc>
        <w:tc>
          <w:tcPr>
            <w:tcW w:w="1100" w:type="dxa"/>
            <w:vAlign w:val="bottom"/>
            <w:tcBorders>
              <w:bottom w:val="single" w:sz="8" w:color="B2B2B2"/>
            </w:tcBorders>
          </w:tcPr>
          <w:p>
            <w:pPr>
              <w:jc w:val="center"/>
              <w:ind w:right="45"/>
              <w:spacing w:after="0"/>
              <w:rPr>
                <w:sz w:val="20"/>
                <w:szCs w:val="20"/>
                <w:color w:val="auto"/>
              </w:rPr>
            </w:pPr>
            <w:r>
              <w:rPr>
                <w:rFonts w:ascii="Arial" w:cs="Arial" w:eastAsia="Arial" w:hAnsi="Arial"/>
                <w:sz w:val="16"/>
                <w:szCs w:val="16"/>
                <w:color w:val="auto"/>
              </w:rPr>
              <w:t>$1,270,124</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340" w:hanging="224"/>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 is calculated based on $15.55, the closing price of our Class A common stock on December 31, 2021.</w:t>
      </w:r>
    </w:p>
    <w:p>
      <w:pPr>
        <w:spacing w:after="0" w:line="26" w:lineRule="exact"/>
        <w:rPr>
          <w:rFonts w:ascii="Arial" w:cs="Arial" w:eastAsia="Arial" w:hAnsi="Arial"/>
          <w:sz w:val="14"/>
          <w:szCs w:val="14"/>
          <w:i w:val="1"/>
          <w:iCs w:val="1"/>
          <w:color w:val="auto"/>
        </w:rPr>
      </w:pPr>
    </w:p>
    <w:p>
      <w:pPr>
        <w:ind w:left="120" w:right="280" w:hanging="4"/>
        <w:spacing w:after="0" w:line="261" w:lineRule="auto"/>
        <w:tabs>
          <w:tab w:leader="none" w:pos="336"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option vests as to 25% of the shares subject to the option on the first anniversary of the vesting commencement date, and as to 1/48th of the shares following the completion of each of an additional 36 months thereafter, subject to the executive’s continued service with us on each applicable vesting date.</w:t>
      </w:r>
    </w:p>
    <w:p>
      <w:pPr>
        <w:ind w:left="340" w:hanging="224"/>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 subject to Mr. Caine’s continued service with us, on the following schedule:</w:t>
      </w:r>
    </w:p>
    <w:p>
      <w:pPr>
        <w:spacing w:after="0" w:line="14" w:lineRule="exact"/>
        <w:rPr>
          <w:rFonts w:ascii="Arial" w:cs="Arial" w:eastAsia="Arial" w:hAnsi="Arial"/>
          <w:sz w:val="14"/>
          <w:szCs w:val="14"/>
          <w:i w:val="1"/>
          <w:iCs w:val="1"/>
          <w:color w:val="auto"/>
        </w:rPr>
      </w:pPr>
    </w:p>
    <w:p>
      <w:pPr>
        <w:ind w:left="720" w:hanging="164"/>
        <w:spacing w:after="0"/>
        <w:tabs>
          <w:tab w:leader="none" w:pos="7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1st through 4th Quarterly Installment Date following the vesting commencement date: No Vesting.</w:t>
      </w:r>
    </w:p>
    <w:p>
      <w:pPr>
        <w:spacing w:after="0" w:line="14" w:lineRule="exact"/>
        <w:rPr>
          <w:rFonts w:ascii="Arial" w:cs="Arial" w:eastAsia="Arial" w:hAnsi="Arial"/>
          <w:sz w:val="14"/>
          <w:szCs w:val="14"/>
          <w:color w:val="auto"/>
        </w:rPr>
      </w:pPr>
    </w:p>
    <w:p>
      <w:pPr>
        <w:ind w:left="560" w:right="40" w:hanging="4"/>
        <w:spacing w:after="0" w:line="261" w:lineRule="auto"/>
        <w:tabs>
          <w:tab w:leader="none" w:pos="720" w:val="left"/>
        </w:tabs>
        <w:numPr>
          <w:ilvl w:val="1"/>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5th Quarterly Installment Date following the vesting commencement date: A number of Shares subject to the Award shall vest equal to the product of (i) the number of Restricted Stock Units granted, multiplied by (ii) a fraction, (x) the numerator of which shall be the number of days that have elapsed since, and including, the vesting commencement date and (y) the denominator of which shall be one thousand four hundred sixty (1,460), rounded down to the nearest whole Share.</w:t>
      </w:r>
    </w:p>
    <w:p>
      <w:pPr>
        <w:spacing w:after="0" w:line="1" w:lineRule="exact"/>
        <w:rPr>
          <w:rFonts w:ascii="Arial" w:cs="Arial" w:eastAsia="Arial" w:hAnsi="Arial"/>
          <w:sz w:val="14"/>
          <w:szCs w:val="14"/>
          <w:i w:val="1"/>
          <w:iCs w:val="1"/>
          <w:color w:val="auto"/>
        </w:rPr>
      </w:pPr>
    </w:p>
    <w:p>
      <w:pPr>
        <w:ind w:left="560" w:right="160" w:hanging="4"/>
        <w:spacing w:after="0" w:line="261" w:lineRule="auto"/>
        <w:tabs>
          <w:tab w:leader="none" w:pos="712" w:val="left"/>
        </w:tabs>
        <w:numPr>
          <w:ilvl w:val="1"/>
          <w:numId w:val="43"/>
        </w:numPr>
        <w:rPr>
          <w:rFonts w:ascii="Arial" w:cs="Arial" w:eastAsia="Arial" w:hAnsi="Arial"/>
          <w:sz w:val="14"/>
          <w:szCs w:val="14"/>
          <w:color w:val="auto"/>
        </w:rPr>
      </w:pPr>
      <w:r>
        <w:rPr>
          <w:rFonts w:ascii="Arial" w:cs="Arial" w:eastAsia="Arial" w:hAnsi="Arial"/>
          <w:sz w:val="14"/>
          <w:szCs w:val="14"/>
          <w:color w:val="auto"/>
        </w:rPr>
        <w:t>6th through 16th Quarterly Installment Date following the vesting commencement date: 1/16th of the number of Restricted Stock Units granted shall vest, rounded down to the nearest whole Share.</w:t>
      </w:r>
    </w:p>
    <w:p>
      <w:pPr>
        <w:ind w:left="720" w:hanging="164"/>
        <w:spacing w:after="0"/>
        <w:tabs>
          <w:tab w:leader="none" w:pos="7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17th Quarterly Installment Date following the vesting commencement date: All then unvested Restricted Stock Units shall vest.</w:t>
      </w:r>
    </w:p>
    <w:p>
      <w:pPr>
        <w:spacing w:after="0" w:line="15" w:lineRule="exact"/>
        <w:rPr>
          <w:sz w:val="20"/>
          <w:szCs w:val="20"/>
          <w:color w:val="auto"/>
        </w:rPr>
      </w:pPr>
    </w:p>
    <w:p>
      <w:pPr>
        <w:ind w:left="560" w:right="440"/>
        <w:spacing w:after="0" w:line="261" w:lineRule="auto"/>
        <w:rPr>
          <w:sz w:val="20"/>
          <w:szCs w:val="20"/>
          <w:color w:val="auto"/>
        </w:rPr>
      </w:pPr>
      <w:r>
        <w:rPr>
          <w:rFonts w:ascii="Arial" w:cs="Arial" w:eastAsia="Arial" w:hAnsi="Arial"/>
          <w:sz w:val="14"/>
          <w:szCs w:val="14"/>
          <w:i w:val="1"/>
          <w:iCs w:val="1"/>
          <w:color w:val="auto"/>
        </w:rPr>
        <w:t>“Quarterly Installment Date” means March 1, June 1, September 1, and December 1 of each year, provided that if such date is not a business day, the Quarterly Installment Date shall be the first business day after such date.</w:t>
      </w:r>
    </w:p>
    <w:p>
      <w:pPr>
        <w:spacing w:after="0" w:line="1" w:lineRule="exact"/>
        <w:rPr>
          <w:sz w:val="20"/>
          <w:szCs w:val="20"/>
          <w:color w:val="auto"/>
        </w:rPr>
      </w:pPr>
    </w:p>
    <w:p>
      <w:pPr>
        <w:ind w:left="120" w:right="700" w:hanging="4"/>
        <w:spacing w:after="0" w:line="261" w:lineRule="auto"/>
        <w:tabs>
          <w:tab w:leader="none" w:pos="336"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These stock options are immediately exercisable for all of the option shares, subject to our right to repurchase any then-unvested shares in connection with the termination of service of the holder of such shares.</w:t>
      </w:r>
    </w:p>
    <w:p>
      <w:pPr>
        <w:ind w:left="120" w:right="720" w:hanging="4"/>
        <w:spacing w:after="0" w:line="261" w:lineRule="auto"/>
        <w:tabs>
          <w:tab w:leader="none" w:pos="336"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The option vests in substantially equal monthly installments over the 48 months of continuous service following the vesting commencement date, subject to the executive’s continued service with us on each applicable vesting date.</w:t>
      </w:r>
    </w:p>
    <w:p>
      <w:pPr>
        <w:ind w:left="120" w:right="320" w:hanging="4"/>
        <w:spacing w:after="0" w:line="284" w:lineRule="auto"/>
        <w:tabs>
          <w:tab w:leader="none" w:pos="336"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 in 16 substantially equal installments on each Quarterly Installment Date (as defined above) following the vesting commencement date, subject to the executive’s continued service with us on each applicable vesting date.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Potential Payments Upon Termination of Employment or Change in Control of the Company</w:t>
      </w:r>
    </w:p>
    <w:p>
      <w:pPr>
        <w:spacing w:after="0" w:line="249" w:lineRule="exact"/>
        <w:rPr>
          <w:sz w:val="20"/>
          <w:szCs w:val="20"/>
          <w:color w:val="auto"/>
        </w:rPr>
      </w:pPr>
    </w:p>
    <w:p>
      <w:pPr>
        <w:ind w:left="120" w:right="140"/>
        <w:spacing w:after="0" w:line="307" w:lineRule="auto"/>
        <w:rPr>
          <w:sz w:val="20"/>
          <w:szCs w:val="20"/>
          <w:color w:val="auto"/>
        </w:rPr>
      </w:pPr>
      <w:r>
        <w:rPr>
          <w:rFonts w:ascii="Arial" w:cs="Arial" w:eastAsia="Arial" w:hAnsi="Arial"/>
          <w:sz w:val="16"/>
          <w:szCs w:val="16"/>
          <w:color w:val="auto"/>
        </w:rPr>
        <w:t>Pursuant to our change of control and severance policy, which became effective as of June 16, 2021, each of Messrs. Chen and Caine and Ms. Gillease are eligible for the benefits described in this paragraph (which such benefits specifically supersede any prior agreements relating to such benefits). The policy has a term of three years, subject to automatic renewal unless terminated by the Company at least three months prior to the date on which the policy would otherwise renew. In the event of a termination without cause or resignation for good reason, each such officer, contingent on execution of a general release of claims against us, will be entitled to (i) a lump sum payment equal to (A) the amount of base salary that would have been earned during the severance period (at the rate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hanging="741"/>
        <w:spacing w:after="0"/>
        <w:tabs>
          <w:tab w:leader="none" w:pos="108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666666"/>
        </w:rPr>
        <w:t>NAMED EXECUTIVE OFFICER COMPENSATION TABLES</w:t>
      </w:r>
    </w:p>
    <w:p>
      <w:pPr>
        <w:spacing w:after="0" w:line="167" w:lineRule="exact"/>
        <w:rPr>
          <w:sz w:val="20"/>
          <w:szCs w:val="20"/>
          <w:color w:val="auto"/>
        </w:rPr>
      </w:pPr>
    </w:p>
    <w:p>
      <w:pPr>
        <w:ind w:left="120" w:right="20"/>
        <w:spacing w:after="0" w:line="304" w:lineRule="auto"/>
        <w:rPr>
          <w:sz w:val="20"/>
          <w:szCs w:val="20"/>
          <w:color w:val="auto"/>
        </w:rPr>
      </w:pPr>
      <w:r>
        <w:rPr>
          <w:rFonts w:ascii="Arial" w:cs="Arial" w:eastAsia="Arial" w:hAnsi="Arial"/>
          <w:sz w:val="16"/>
          <w:szCs w:val="16"/>
          <w:color w:val="auto"/>
        </w:rPr>
        <w:t>effect immediately prior to such termination prior to any reduction that triggered a resignation for good reason), plus (B) payment of the officer’s target bonus, if applicable, assuming the bonus would have been earned at 100% of target, and prorated based on the number of calendar months completed in the performance period in which the termination occurs and (ii) to the extent the officer timely elects to receive continued coverage under our group healthcare plans, payment of, or reimbursement for, such coverage under COBRA, for up to the length of the severance period. The severance period will be six months; provided, however, that if such termination without cause or resignation for good reason occurs during the period beginning 3 months prior to, and ending on the date that is 12 months following, a change in control of the Company (a Change in Control Termination), then the severance period will be 12 months. In addition, in the event of a Change in Control Termination, (x) the bonus amount described in prong (i)(B) above will not be prorated but instead will reflect the full target bonus and (y) each of the officer’s outstanding equity awards (excluding performance-based awards) will vest as if the officer had completed an additional 12 months of continuous service beyond the termination date.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Other Compensation and Benefits</w:t>
      </w:r>
    </w:p>
    <w:p>
      <w:pPr>
        <w:spacing w:after="0" w:line="249"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color w:val="auto"/>
        </w:rPr>
        <w:t>All of our Named Executive Officers are eligible to participate in our employee benefit plans, including our medical, dental, vision, life, disability and accidental death and dismemberment insurance plans, in each case on the same terms as all of our U.S.-based employees. In addition, we also offer our employees paid time off, a 401(k) plan, mental health services, commuter benefits, health and dependent care flexible spending accounts, and access to third-party service providers in the areas of legal and personal finance support. We generally do not provide perquisites or personal benefits to our Named Executive Officers that we do not offer to our other employees. During our year ended December 31, 2021, we paid or reimbursed our Named Executive Officers a stipend for gym, cell phone costs and at-home internet, paid or reimbursed certain home office expenses, and provided certain service-based anniversary gifts to our employees with an accompanying gross-up.</w:t>
      </w:r>
    </w:p>
    <w:p>
      <w:pPr>
        <w:spacing w:after="0" w:line="180" w:lineRule="exact"/>
        <w:rPr>
          <w:sz w:val="20"/>
          <w:szCs w:val="20"/>
          <w:color w:val="auto"/>
        </w:rPr>
      </w:pPr>
    </w:p>
    <w:p>
      <w:pPr>
        <w:ind w:left="120" w:right="40"/>
        <w:spacing w:after="0" w:line="299" w:lineRule="auto"/>
        <w:rPr>
          <w:sz w:val="20"/>
          <w:szCs w:val="20"/>
          <w:color w:val="auto"/>
        </w:rPr>
      </w:pPr>
      <w:r>
        <w:rPr>
          <w:rFonts w:ascii="Arial" w:cs="Arial" w:eastAsia="Arial" w:hAnsi="Arial"/>
          <w:sz w:val="16"/>
          <w:szCs w:val="16"/>
          <w:color w:val="auto"/>
        </w:rPr>
        <w:t>We maintain a 401(k) plan that provides eligible U.S. employees with an opportunity to save for retirement on a tax advantaged basis. Eligible employees are able to defer eligible compensation up to certain Internal Revenue Code limits, which are updated annually. We have the ability to make matching and discretionary contributions to the 401(k) plan. Currently, we make matching contributions up to 4% of the employee’s annual salary up to a maximum of $290,000. The 401(k) plan is intended to be qualified under Section 401(a) of the Code, with the related trust intended to be tax exempt under</w:t>
      </w:r>
    </w:p>
    <w:p>
      <w:pPr>
        <w:spacing w:after="0" w:line="1" w:lineRule="exact"/>
        <w:rPr>
          <w:sz w:val="20"/>
          <w:szCs w:val="20"/>
          <w:color w:val="auto"/>
        </w:rPr>
      </w:pPr>
    </w:p>
    <w:p>
      <w:pPr>
        <w:ind w:left="120" w:right="300"/>
        <w:spacing w:after="0" w:line="339" w:lineRule="auto"/>
        <w:rPr>
          <w:sz w:val="20"/>
          <w:szCs w:val="20"/>
          <w:color w:val="auto"/>
        </w:rPr>
      </w:pPr>
      <w:r>
        <w:rPr>
          <w:rFonts w:ascii="Arial" w:cs="Arial" w:eastAsia="Arial" w:hAnsi="Arial"/>
          <w:sz w:val="16"/>
          <w:szCs w:val="16"/>
          <w:color w:val="auto"/>
        </w:rPr>
        <w:t>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55" w:lineRule="exact"/>
        <w:rPr>
          <w:sz w:val="20"/>
          <w:szCs w:val="20"/>
          <w:color w:val="auto"/>
        </w:rPr>
      </w:pPr>
    </w:p>
    <w:p>
      <w:pPr>
        <w:ind w:left="120" w:right="220"/>
        <w:spacing w:after="0" w:line="319" w:lineRule="auto"/>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during the year ended December 31, 2021. Our Board may elect to provide our officers and other employees with nonqualified defined contribution or other nonqualified deferred compensation benefits in the future if it determines that doing so is in our best interests.</w:t>
      </w:r>
    </w:p>
    <w:p>
      <w:pPr>
        <w:spacing w:after="0" w:line="171" w:lineRule="exact"/>
        <w:rPr>
          <w:sz w:val="20"/>
          <w:szCs w:val="20"/>
          <w:color w:val="auto"/>
        </w:rPr>
      </w:pPr>
    </w:p>
    <w:p>
      <w:pPr>
        <w:ind w:left="120" w:right="420"/>
        <w:spacing w:after="0" w:line="339"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2021.</w:t>
      </w:r>
    </w:p>
    <w:p>
      <w:pPr>
        <w:spacing w:after="0" w:line="155" w:lineRule="exact"/>
        <w:rPr>
          <w:sz w:val="20"/>
          <w:szCs w:val="20"/>
          <w:color w:val="auto"/>
        </w:rPr>
      </w:pPr>
    </w:p>
    <w:p>
      <w:pPr>
        <w:ind w:left="120" w:right="180"/>
        <w:spacing w:after="0" w:line="319" w:lineRule="auto"/>
        <w:rPr>
          <w:sz w:val="20"/>
          <w:szCs w:val="20"/>
          <w:color w:val="auto"/>
        </w:rPr>
      </w:pPr>
      <w:r>
        <w:rPr>
          <w:rFonts w:ascii="Arial" w:cs="Arial" w:eastAsia="Arial" w:hAnsi="Arial"/>
          <w:sz w:val="16"/>
          <w:szCs w:val="16"/>
          <w:color w:val="auto"/>
        </w:rPr>
        <w:t>In an effort to achieve our vision and mission statements internally, we offer an Employee Stock Purchase Plan (ESPP) to all employees in the U.S. and abroad. The purpose of the ESPP is to attract new employees, retain current employees, and create a culture of ownership so that our employees are aligned with our longer 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382905</wp:posOffset>
            </wp:positionV>
            <wp:extent cx="6995160" cy="702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CERTAIN RELATIONSHIPS AND RELATED PERSON TRANSACTIONS</w:t>
      </w:r>
    </w:p>
    <w:p>
      <w:pPr>
        <w:spacing w:after="0" w:line="110" w:lineRule="exact"/>
        <w:rPr>
          <w:sz w:val="20"/>
          <w:szCs w:val="20"/>
          <w:color w:val="auto"/>
        </w:rPr>
      </w:pPr>
    </w:p>
    <w:p>
      <w:pPr>
        <w:ind w:left="120" w:right="1980"/>
        <w:spacing w:after="0" w:line="282" w:lineRule="auto"/>
        <w:rPr>
          <w:sz w:val="20"/>
          <w:szCs w:val="20"/>
          <w:color w:val="auto"/>
        </w:rPr>
      </w:pPr>
      <w:r>
        <w:rPr>
          <w:rFonts w:ascii="Times New Roman" w:cs="Times New Roman" w:eastAsia="Times New Roman" w:hAnsi="Times New Roman"/>
          <w:sz w:val="50"/>
          <w:szCs w:val="50"/>
          <w:b w:val="1"/>
          <w:bCs w:val="1"/>
          <w:color w:val="auto"/>
        </w:rPr>
        <w:t>Certain Relationships and Related Person Transactions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Related Person Transactions Policy</w:t>
      </w:r>
    </w:p>
    <w:p>
      <w:pPr>
        <w:spacing w:after="0" w:line="249" w:lineRule="exact"/>
        <w:rPr>
          <w:sz w:val="20"/>
          <w:szCs w:val="20"/>
          <w:color w:val="auto"/>
        </w:rPr>
      </w:pPr>
    </w:p>
    <w:p>
      <w:pPr>
        <w:ind w:left="120" w:right="120"/>
        <w:spacing w:after="0" w:line="312" w:lineRule="auto"/>
        <w:rPr>
          <w:sz w:val="20"/>
          <w:szCs w:val="20"/>
          <w:color w:val="auto"/>
        </w:rPr>
      </w:pPr>
      <w:r>
        <w:rPr>
          <w:rFonts w:ascii="Arial" w:cs="Arial" w:eastAsia="Arial" w:hAnsi="Arial"/>
          <w:sz w:val="16"/>
          <w:szCs w:val="16"/>
          <w:color w:val="auto"/>
        </w:rPr>
        <w:t>In September 2021, our Board adopted a Related Person Transaction Policy. Our Related Person Transaction Policy sets forth the process by which our Audit Committee will identify, review, consider and approve or ratify transactions involving NerdWallet and any related person. A related person transaction is defined as a transaction, arrangement or relationship (or any series of similar transactions, arrangements or relationships) in which NerdWallet and any related person are, were or will be participants in which the amount involved exceeds $120,000.</w:t>
      </w:r>
    </w:p>
    <w:p>
      <w:pPr>
        <w:spacing w:after="0" w:line="177" w:lineRule="exact"/>
        <w:rPr>
          <w:sz w:val="20"/>
          <w:szCs w:val="20"/>
          <w:color w:val="auto"/>
        </w:rPr>
      </w:pPr>
    </w:p>
    <w:p>
      <w:pPr>
        <w:ind w:left="120" w:right="80"/>
        <w:spacing w:after="0" w:line="307" w:lineRule="auto"/>
        <w:rPr>
          <w:sz w:val="20"/>
          <w:szCs w:val="20"/>
          <w:color w:val="auto"/>
        </w:rPr>
      </w:pPr>
      <w:r>
        <w:rPr>
          <w:rFonts w:ascii="Arial" w:cs="Arial" w:eastAsia="Arial" w:hAnsi="Arial"/>
          <w:sz w:val="16"/>
          <w:szCs w:val="16"/>
          <w:color w:val="auto"/>
        </w:rPr>
        <w:t>Our Audit Committee will consider all the relevant facts and circumstances deemed relevant by and available to the Audit Committee, including, but not limited to (a) the risks, costs, and benefits to NerdWallet,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 Audit Committee will approve only those related person transactions that, in light of known circumstances, are in, or are not inconsistent with, the best interests of NerdWallet and its stockholders, as the Audit Committee determines in the good faith exercise of its discretion.</w:t>
      </w:r>
    </w:p>
    <w:p>
      <w:pPr>
        <w:spacing w:after="0" w:line="181" w:lineRule="exact"/>
        <w:rPr>
          <w:sz w:val="20"/>
          <w:szCs w:val="20"/>
          <w:color w:val="auto"/>
        </w:rPr>
      </w:pPr>
    </w:p>
    <w:p>
      <w:pPr>
        <w:ind w:left="120" w:right="200"/>
        <w:spacing w:after="0" w:line="319" w:lineRule="auto"/>
        <w:rPr>
          <w:sz w:val="20"/>
          <w:szCs w:val="20"/>
          <w:color w:val="auto"/>
        </w:rPr>
      </w:pPr>
      <w:r>
        <w:rPr>
          <w:rFonts w:ascii="Arial" w:cs="Arial" w:eastAsia="Arial" w:hAnsi="Arial"/>
          <w:sz w:val="16"/>
          <w:szCs w:val="16"/>
          <w:color w:val="auto"/>
        </w:rPr>
        <w:t>We require each of our directors and executive officers to complete an annual directors’ and officers’ questionnaire that elicits information about related person transactions. This process helps our Board determine whether any such related person transaction impairs the independence of a director or presents a conflict of interest on the part of a director, employee or officer.</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Transactions with Related Persons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than as described below, since January 1, 2021, we have not entered into, and there are no currently proposed, related person transactions.</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 Repurchases</w:t>
      </w:r>
    </w:p>
    <w:p>
      <w:pPr>
        <w:spacing w:after="0" w:line="225" w:lineRule="exact"/>
        <w:rPr>
          <w:sz w:val="20"/>
          <w:szCs w:val="20"/>
          <w:color w:val="auto"/>
        </w:rPr>
      </w:pPr>
    </w:p>
    <w:p>
      <w:pPr>
        <w:ind w:left="120" w:right="20"/>
        <w:spacing w:after="0" w:line="339" w:lineRule="auto"/>
        <w:rPr>
          <w:sz w:val="20"/>
          <w:szCs w:val="20"/>
          <w:color w:val="auto"/>
        </w:rPr>
      </w:pPr>
      <w:r>
        <w:rPr>
          <w:rFonts w:ascii="Arial" w:cs="Arial" w:eastAsia="Arial" w:hAnsi="Arial"/>
          <w:sz w:val="16"/>
          <w:szCs w:val="16"/>
          <w:color w:val="auto"/>
        </w:rPr>
        <w:t>In January 2021, we repurchased 882,817 shares of Class B common stock from Tim Chen, our Co-founder, Chief Executive Officer and Chairman of our Board, at a purchase price of $14.00 per share. The total consideration paid to Mr. Chen was $12,359,438.</w:t>
      </w:r>
    </w:p>
    <w:p>
      <w:pPr>
        <w:spacing w:after="0" w:line="155"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color w:val="auto"/>
        </w:rPr>
        <w:t>In March 2021, we entered into an Option Cancellation Agreement with Camelot Financial Capital Management LLC and Simon Williams, a former member of our Board, pursuant to which we cancelled options to purchase an aggregate of 172,500 shares of Class A common stock held by Camelot Financial Capital Management LLC for consideration equal to $20.00 per share, minus the exercise price for the shares underlying such options. The total consideration paid to Camelot Financial Capital Management LLC for the option cancellation was $2,432,979. In addition, in March 2021, we repurchased 102,500 shares of Series A Preferred Stock from Camelot Financial Capital Management LLC at a purchase price of $20.00 per share. The total consideration paid to Camelot Financial Capital Management LLC for the share repurchase was $2,050,000.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hanging="741"/>
        <w:spacing w:after="0"/>
        <w:tabs>
          <w:tab w:leader="none" w:pos="108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666666"/>
        </w:rPr>
        <w:t>SECURITY OWNERSHIP OF CERTAIN BENEFICIAL OWNERS AND MANAGEMENT</w:t>
      </w:r>
    </w:p>
    <w:p>
      <w:pPr>
        <w:spacing w:after="0" w:line="120" w:lineRule="exact"/>
        <w:rPr>
          <w:sz w:val="20"/>
          <w:szCs w:val="20"/>
          <w:color w:val="auto"/>
        </w:rPr>
      </w:pPr>
    </w:p>
    <w:p>
      <w:pPr>
        <w:ind w:left="120" w:right="100"/>
        <w:spacing w:after="0" w:line="278" w:lineRule="auto"/>
        <w:rPr>
          <w:sz w:val="20"/>
          <w:szCs w:val="20"/>
          <w:color w:val="auto"/>
        </w:rPr>
      </w:pPr>
      <w:r>
        <w:rPr>
          <w:rFonts w:ascii="Times New Roman" w:cs="Times New Roman" w:eastAsia="Times New Roman" w:hAnsi="Times New Roman"/>
          <w:sz w:val="50"/>
          <w:szCs w:val="50"/>
          <w:color w:val="auto"/>
        </w:rPr>
        <w:t>Security Ownership of Certain Beneficial Owners and Management</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beneficial ownership of our common stock as of March 31, 2022, the record date for the 2022 Annual Meeting, by:</w:t>
      </w:r>
    </w:p>
    <w:p>
      <w:pPr>
        <w:spacing w:after="0" w:line="167"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person, or group of affiliated persons, who we know to beneficially own more than 5% of any class or series of our capital stock;</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248" w:lineRule="exact"/>
        <w:rPr>
          <w:sz w:val="20"/>
          <w:szCs w:val="20"/>
          <w:color w:val="auto"/>
        </w:rPr>
      </w:pPr>
    </w:p>
    <w:p>
      <w:pPr>
        <w:ind w:left="120" w:right="180"/>
        <w:spacing w:after="0" w:line="339" w:lineRule="auto"/>
        <w:rPr>
          <w:sz w:val="20"/>
          <w:szCs w:val="20"/>
          <w:color w:val="auto"/>
        </w:rPr>
      </w:pPr>
      <w:r>
        <w:rPr>
          <w:rFonts w:ascii="Arial" w:cs="Arial" w:eastAsia="Arial" w:hAnsi="Arial"/>
          <w:sz w:val="16"/>
          <w:szCs w:val="16"/>
          <w:color w:val="auto"/>
        </w:rPr>
        <w:t>The numbers of shares of common stock and percentages of ownership and combined voting power set forth below are based on the number of shares issued and outstanding as of March 31, 2022.</w:t>
      </w:r>
    </w:p>
    <w:p>
      <w:pPr>
        <w:spacing w:after="0" w:line="155" w:lineRule="exact"/>
        <w:rPr>
          <w:sz w:val="20"/>
          <w:szCs w:val="20"/>
          <w:color w:val="auto"/>
        </w:rPr>
      </w:pPr>
    </w:p>
    <w:p>
      <w:pPr>
        <w:ind w:left="120" w:right="140"/>
        <w:spacing w:after="0" w:line="309" w:lineRule="auto"/>
        <w:rPr>
          <w:sz w:val="20"/>
          <w:szCs w:val="20"/>
          <w:color w:val="auto"/>
        </w:rPr>
      </w:pPr>
      <w:r>
        <w:rPr>
          <w:rFonts w:ascii="Arial" w:cs="Arial" w:eastAsia="Arial" w:hAnsi="Arial"/>
          <w:sz w:val="16"/>
          <w:szCs w:val="16"/>
          <w:color w:val="auto"/>
        </w:rPr>
        <w:t>The amounts of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a beneficial owner of any securities of which that person has a right to acquire beneficial ownership within 60 days of March 31, 2022. Under these rules, more than one person may be deemed to be a beneficial owner of the same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702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37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SECURITY OWNERSHIP OF CERTAIN BENEFICIAL OWNERS AND MANAGEMENT</w:t>
      </w:r>
    </w:p>
    <w:p>
      <w:pPr>
        <w:spacing w:after="0" w:line="167" w:lineRule="exact"/>
        <w:rPr>
          <w:sz w:val="20"/>
          <w:szCs w:val="20"/>
          <w:color w:val="auto"/>
        </w:rPr>
      </w:pPr>
    </w:p>
    <w:p>
      <w:pPr>
        <w:ind w:left="120" w:right="180"/>
        <w:spacing w:after="0" w:line="238" w:lineRule="auto"/>
        <w:rPr>
          <w:sz w:val="20"/>
          <w:szCs w:val="20"/>
          <w:color w:val="auto"/>
        </w:rPr>
      </w:pPr>
      <w:r>
        <w:rPr>
          <w:rFonts w:ascii="Arial" w:cs="Arial" w:eastAsia="Arial" w:hAnsi="Arial"/>
          <w:sz w:val="16"/>
          <w:szCs w:val="16"/>
          <w:color w:val="auto"/>
        </w:rPr>
        <w:t>Except as otherwise indicated and subject to applicable community property laws, each owner has sole voting and investment power with respect to the securities listed. Unless otherwise indicated, the address for each beneficial owner listed below is 55 Hawthorne Street,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San Francisco, California 94105.</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5160" w:type="dxa"/>
            <w:vAlign w:val="bottom"/>
            <w:tcBorders>
              <w:top w:val="single" w:sz="8" w:color="60BAFF"/>
              <w:right w:val="single" w:sz="8" w:color="B2B2B2"/>
            </w:tcBorders>
          </w:tcPr>
          <w:p>
            <w:pPr>
              <w:spacing w:after="0"/>
              <w:rPr>
                <w:sz w:val="22"/>
                <w:szCs w:val="22"/>
                <w:color w:val="auto"/>
              </w:rPr>
            </w:pPr>
          </w:p>
        </w:tc>
        <w:tc>
          <w:tcPr>
            <w:tcW w:w="1160" w:type="dxa"/>
            <w:vAlign w:val="bottom"/>
            <w:tcBorders>
              <w:top w:val="single" w:sz="8" w:color="60BAFF"/>
            </w:tcBorders>
          </w:tcPr>
          <w:p>
            <w:pPr>
              <w:spacing w:after="0"/>
              <w:rPr>
                <w:sz w:val="22"/>
                <w:szCs w:val="22"/>
                <w:color w:val="auto"/>
              </w:rPr>
            </w:pPr>
          </w:p>
        </w:tc>
        <w:tc>
          <w:tcPr>
            <w:tcW w:w="2440" w:type="dxa"/>
            <w:vAlign w:val="bottom"/>
            <w:tcBorders>
              <w:top w:val="single" w:sz="8" w:color="60BAFF"/>
            </w:tcBorders>
            <w:gridSpan w:val="2"/>
          </w:tcPr>
          <w:p>
            <w:pPr>
              <w:jc w:val="right"/>
              <w:ind w:right="260"/>
              <w:spacing w:after="0"/>
              <w:rPr>
                <w:sz w:val="20"/>
                <w:szCs w:val="20"/>
                <w:color w:val="auto"/>
              </w:rPr>
            </w:pPr>
            <w:r>
              <w:rPr>
                <w:rFonts w:ascii="Arial" w:cs="Arial" w:eastAsia="Arial" w:hAnsi="Arial"/>
                <w:sz w:val="14"/>
                <w:szCs w:val="14"/>
                <w:b w:val="1"/>
                <w:bCs w:val="1"/>
                <w:color w:val="60BAFF"/>
              </w:rPr>
              <w:t>Shares Beneficially Owned</w:t>
            </w:r>
          </w:p>
        </w:tc>
        <w:tc>
          <w:tcPr>
            <w:tcW w:w="1160" w:type="dxa"/>
            <w:vAlign w:val="bottom"/>
            <w:tcBorders>
              <w:top w:val="single" w:sz="8" w:color="60BAFF"/>
              <w:right w:val="single" w:sz="8" w:color="B2B2B2"/>
            </w:tcBorders>
          </w:tcPr>
          <w:p>
            <w:pPr>
              <w:spacing w:after="0"/>
              <w:rPr>
                <w:sz w:val="22"/>
                <w:szCs w:val="22"/>
                <w:color w:val="auto"/>
              </w:rPr>
            </w:pPr>
          </w:p>
        </w:tc>
        <w:tc>
          <w:tcPr>
            <w:tcW w:w="1100" w:type="dxa"/>
            <w:vAlign w:val="bottom"/>
            <w:tcBorders>
              <w:top w:val="single" w:sz="8" w:color="60BAFF"/>
            </w:tcBorders>
          </w:tcPr>
          <w:p>
            <w:pPr>
              <w:spacing w:after="0"/>
              <w:rPr>
                <w:sz w:val="22"/>
                <w:szCs w:val="22"/>
                <w:color w:val="auto"/>
              </w:rPr>
            </w:pPr>
          </w:p>
        </w:tc>
      </w:tr>
      <w:tr>
        <w:trPr>
          <w:trHeight w:val="42"/>
        </w:trPr>
        <w:tc>
          <w:tcPr>
            <w:tcW w:w="5160" w:type="dxa"/>
            <w:vAlign w:val="bottom"/>
            <w:tcBorders>
              <w:bottom w:val="single" w:sz="8" w:color="60BAFF"/>
              <w:right w:val="single" w:sz="8" w:color="B2B2B2"/>
            </w:tcBorders>
          </w:tcPr>
          <w:p>
            <w:pPr>
              <w:spacing w:after="0"/>
              <w:rPr>
                <w:sz w:val="3"/>
                <w:szCs w:val="3"/>
                <w:color w:val="auto"/>
              </w:rPr>
            </w:pPr>
          </w:p>
        </w:tc>
        <w:tc>
          <w:tcPr>
            <w:tcW w:w="1160" w:type="dxa"/>
            <w:vAlign w:val="bottom"/>
            <w:tcBorders>
              <w:bottom w:val="single" w:sz="8" w:color="60BAFF"/>
            </w:tcBorders>
          </w:tcPr>
          <w:p>
            <w:pPr>
              <w:spacing w:after="0"/>
              <w:rPr>
                <w:sz w:val="3"/>
                <w:szCs w:val="3"/>
                <w:color w:val="auto"/>
              </w:rPr>
            </w:pPr>
          </w:p>
        </w:tc>
        <w:tc>
          <w:tcPr>
            <w:tcW w:w="1180" w:type="dxa"/>
            <w:vAlign w:val="bottom"/>
            <w:tcBorders>
              <w:bottom w:val="single" w:sz="8" w:color="60BAFF"/>
            </w:tcBorders>
          </w:tcPr>
          <w:p>
            <w:pPr>
              <w:spacing w:after="0"/>
              <w:rPr>
                <w:sz w:val="3"/>
                <w:szCs w:val="3"/>
                <w:color w:val="auto"/>
              </w:rPr>
            </w:pPr>
          </w:p>
        </w:tc>
        <w:tc>
          <w:tcPr>
            <w:tcW w:w="1260" w:type="dxa"/>
            <w:vAlign w:val="bottom"/>
            <w:tcBorders>
              <w:bottom w:val="single" w:sz="8" w:color="60BAFF"/>
            </w:tcBorders>
          </w:tcPr>
          <w:p>
            <w:pPr>
              <w:spacing w:after="0"/>
              <w:rPr>
                <w:sz w:val="3"/>
                <w:szCs w:val="3"/>
                <w:color w:val="auto"/>
              </w:rPr>
            </w:pPr>
          </w:p>
        </w:tc>
        <w:tc>
          <w:tcPr>
            <w:tcW w:w="1160" w:type="dxa"/>
            <w:vAlign w:val="bottom"/>
            <w:tcBorders>
              <w:bottom w:val="single" w:sz="8" w:color="60BAFF"/>
              <w:right w:val="single" w:sz="8" w:color="B2B2B2"/>
            </w:tcBorders>
          </w:tcPr>
          <w:p>
            <w:pPr>
              <w:spacing w:after="0"/>
              <w:rPr>
                <w:sz w:val="3"/>
                <w:szCs w:val="3"/>
                <w:color w:val="auto"/>
              </w:rPr>
            </w:pPr>
          </w:p>
        </w:tc>
        <w:tc>
          <w:tcPr>
            <w:tcW w:w="1100" w:type="dxa"/>
            <w:vAlign w:val="bottom"/>
            <w:tcBorders>
              <w:bottom w:val="single" w:sz="8" w:color="60BAFF"/>
            </w:tcBorders>
          </w:tcPr>
          <w:p>
            <w:pPr>
              <w:spacing w:after="0"/>
              <w:rPr>
                <w:sz w:val="3"/>
                <w:szCs w:val="3"/>
                <w:color w:val="auto"/>
              </w:rPr>
            </w:pPr>
          </w:p>
        </w:tc>
      </w:tr>
      <w:tr>
        <w:trPr>
          <w:trHeight w:val="200"/>
        </w:trPr>
        <w:tc>
          <w:tcPr>
            <w:tcW w:w="5160" w:type="dxa"/>
            <w:vAlign w:val="bottom"/>
            <w:tcBorders>
              <w:right w:val="single" w:sz="8" w:color="B2B2B2"/>
            </w:tcBorders>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Borders>
              <w:right w:val="single" w:sz="8" w:color="B2B2B2"/>
            </w:tcBorders>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Borders>
              <w:right w:val="single" w:sz="8" w:color="B2B2B2"/>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60BAFF"/>
              </w:rPr>
              <w:t>% of Total</w:t>
            </w:r>
          </w:p>
        </w:tc>
      </w:tr>
      <w:tr>
        <w:trPr>
          <w:trHeight w:val="157"/>
        </w:trPr>
        <w:tc>
          <w:tcPr>
            <w:tcW w:w="5160" w:type="dxa"/>
            <w:vAlign w:val="bottom"/>
            <w:tcBorders>
              <w:right w:val="single" w:sz="8" w:color="B2B2B2"/>
            </w:tcBorders>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Borders>
              <w:right w:val="single" w:sz="8" w:color="B2B2B2"/>
            </w:tcBorders>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Borders>
              <w:right w:val="single" w:sz="8" w:color="B2B2B2"/>
            </w:tcBorders>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60BAFF"/>
              </w:rPr>
              <w:t>Voting</w:t>
            </w:r>
          </w:p>
        </w:tc>
      </w:tr>
      <w:tr>
        <w:trPr>
          <w:trHeight w:val="244"/>
        </w:trPr>
        <w:tc>
          <w:tcPr>
            <w:tcW w:w="5160" w:type="dxa"/>
            <w:vAlign w:val="bottom"/>
            <w:tcBorders>
              <w:bottom w:val="single" w:sz="8" w:color="60BAFF"/>
              <w:right w:val="single" w:sz="8" w:color="B2B2B2"/>
            </w:tcBorders>
          </w:tcPr>
          <w:p>
            <w:pPr>
              <w:spacing w:after="0"/>
              <w:rPr>
                <w:sz w:val="21"/>
                <w:szCs w:val="21"/>
                <w:color w:val="auto"/>
              </w:rPr>
            </w:pPr>
          </w:p>
        </w:tc>
        <w:tc>
          <w:tcPr>
            <w:tcW w:w="2340" w:type="dxa"/>
            <w:vAlign w:val="bottom"/>
            <w:tcBorders>
              <w:bottom w:val="single" w:sz="8" w:color="60BAFF"/>
              <w:right w:val="single" w:sz="8" w:color="B2B2B2"/>
            </w:tcBorders>
            <w:gridSpan w:val="2"/>
          </w:tcPr>
          <w:p>
            <w:pPr>
              <w:jc w:val="right"/>
              <w:ind w:right="320"/>
              <w:spacing w:after="0"/>
              <w:rPr>
                <w:sz w:val="20"/>
                <w:szCs w:val="20"/>
                <w:color w:val="auto"/>
              </w:rPr>
            </w:pPr>
            <w:r>
              <w:rPr>
                <w:rFonts w:ascii="Arial" w:cs="Arial" w:eastAsia="Arial" w:hAnsi="Arial"/>
                <w:sz w:val="14"/>
                <w:szCs w:val="14"/>
                <w:b w:val="1"/>
                <w:bCs w:val="1"/>
                <w:color w:val="60BAFF"/>
              </w:rPr>
              <w:t>Class A Common Stock</w:t>
            </w:r>
          </w:p>
        </w:tc>
        <w:tc>
          <w:tcPr>
            <w:tcW w:w="2420" w:type="dxa"/>
            <w:vAlign w:val="bottom"/>
            <w:tcBorders>
              <w:bottom w:val="single" w:sz="8" w:color="60BAFF"/>
              <w:right w:val="single" w:sz="8" w:color="B2B2B2"/>
            </w:tcBorders>
            <w:gridSpan w:val="2"/>
          </w:tcPr>
          <w:p>
            <w:pPr>
              <w:ind w:left="360"/>
              <w:spacing w:after="0"/>
              <w:rPr>
                <w:sz w:val="20"/>
                <w:szCs w:val="20"/>
                <w:color w:val="auto"/>
              </w:rPr>
            </w:pPr>
            <w:r>
              <w:rPr>
                <w:rFonts w:ascii="Arial" w:cs="Arial" w:eastAsia="Arial" w:hAnsi="Arial"/>
                <w:sz w:val="14"/>
                <w:szCs w:val="14"/>
                <w:b w:val="1"/>
                <w:bCs w:val="1"/>
                <w:color w:val="60BAFF"/>
              </w:rPr>
              <w:t>Class B Common Stock</w:t>
            </w:r>
          </w:p>
        </w:tc>
        <w:tc>
          <w:tcPr>
            <w:tcW w:w="1100" w:type="dxa"/>
            <w:vAlign w:val="bottom"/>
            <w:tcBorders>
              <w:bottom w:val="single" w:sz="8" w:color="60BAFF"/>
            </w:tcBorders>
          </w:tcPr>
          <w:p>
            <w:pPr>
              <w:jc w:val="center"/>
              <w:spacing w:after="0" w:line="244" w:lineRule="exact"/>
              <w:rPr>
                <w:sz w:val="20"/>
                <w:szCs w:val="20"/>
                <w:color w:val="auto"/>
              </w:rPr>
            </w:pPr>
            <w:r>
              <w:rPr>
                <w:rFonts w:ascii="Arial" w:cs="Arial" w:eastAsia="Arial" w:hAnsi="Arial"/>
                <w:sz w:val="14"/>
                <w:szCs w:val="14"/>
                <w:b w:val="1"/>
                <w:bCs w:val="1"/>
                <w:color w:val="60BAFF"/>
                <w:w w:val="94"/>
              </w:rPr>
              <w:t>Power</w:t>
            </w:r>
            <w:r>
              <w:rPr>
                <w:rFonts w:ascii="Arial" w:cs="Arial" w:eastAsia="Arial" w:hAnsi="Arial"/>
                <w:sz w:val="24"/>
                <w:szCs w:val="24"/>
                <w:b w:val="1"/>
                <w:bCs w:val="1"/>
                <w:color w:val="60BAFF"/>
                <w:w w:val="94"/>
                <w:vertAlign w:val="superscript"/>
              </w:rPr>
              <w:t>(1)</w:t>
            </w:r>
          </w:p>
        </w:tc>
      </w:tr>
      <w:tr>
        <w:trPr>
          <w:trHeight w:val="234"/>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 of Beneficial Owner</w:t>
            </w:r>
          </w:p>
        </w:tc>
        <w:tc>
          <w:tcPr>
            <w:tcW w:w="1160" w:type="dxa"/>
            <w:vAlign w:val="bottom"/>
            <w:tcBorders>
              <w:right w:val="single" w:sz="8" w:color="B2B2B2"/>
            </w:tcBorders>
          </w:tcPr>
          <w:p>
            <w:pPr>
              <w:jc w:val="right"/>
              <w:ind w:right="280"/>
              <w:spacing w:after="0"/>
              <w:rPr>
                <w:sz w:val="20"/>
                <w:szCs w:val="20"/>
                <w:color w:val="auto"/>
              </w:rPr>
            </w:pPr>
            <w:r>
              <w:rPr>
                <w:rFonts w:ascii="Arial" w:cs="Arial" w:eastAsia="Arial" w:hAnsi="Arial"/>
                <w:sz w:val="14"/>
                <w:szCs w:val="14"/>
                <w:b w:val="1"/>
                <w:bCs w:val="1"/>
                <w:color w:val="60BAFF"/>
              </w:rPr>
              <w:t>Shares</w:t>
            </w:r>
          </w:p>
        </w:tc>
        <w:tc>
          <w:tcPr>
            <w:tcW w:w="1180" w:type="dxa"/>
            <w:vAlign w:val="bottom"/>
            <w:tcBorders>
              <w:right w:val="single" w:sz="8" w:color="B2B2B2"/>
            </w:tcBorders>
          </w:tcPr>
          <w:p>
            <w:pPr>
              <w:jc w:val="right"/>
              <w:ind w:right="480"/>
              <w:spacing w:after="0"/>
              <w:rPr>
                <w:sz w:val="20"/>
                <w:szCs w:val="20"/>
                <w:color w:val="auto"/>
              </w:rPr>
            </w:pPr>
            <w:r>
              <w:rPr>
                <w:rFonts w:ascii="Arial" w:cs="Arial" w:eastAsia="Arial" w:hAnsi="Arial"/>
                <w:sz w:val="14"/>
                <w:szCs w:val="14"/>
                <w:b w:val="1"/>
                <w:bCs w:val="1"/>
                <w:color w:val="60BAFF"/>
              </w:rPr>
              <w:t>%</w:t>
            </w:r>
          </w:p>
        </w:tc>
        <w:tc>
          <w:tcPr>
            <w:tcW w:w="1260" w:type="dxa"/>
            <w:vAlign w:val="bottom"/>
            <w:tcBorders>
              <w:right w:val="single" w:sz="8" w:color="B2B2B2"/>
            </w:tcBorders>
          </w:tcPr>
          <w:p>
            <w:pPr>
              <w:ind w:left="360"/>
              <w:spacing w:after="0"/>
              <w:rPr>
                <w:sz w:val="20"/>
                <w:szCs w:val="20"/>
                <w:color w:val="auto"/>
              </w:rPr>
            </w:pPr>
            <w:r>
              <w:rPr>
                <w:rFonts w:ascii="Arial" w:cs="Arial" w:eastAsia="Arial" w:hAnsi="Arial"/>
                <w:sz w:val="14"/>
                <w:szCs w:val="14"/>
                <w:b w:val="1"/>
                <w:bCs w:val="1"/>
                <w:color w:val="60BAFF"/>
              </w:rPr>
              <w:t>Shares</w:t>
            </w:r>
          </w:p>
        </w:tc>
        <w:tc>
          <w:tcPr>
            <w:tcW w:w="1160" w:type="dxa"/>
            <w:vAlign w:val="bottom"/>
            <w:tcBorders>
              <w:right w:val="single" w:sz="8" w:color="B2B2B2"/>
            </w:tcBorders>
          </w:tcPr>
          <w:p>
            <w:pPr>
              <w:jc w:val="right"/>
              <w:ind w:right="480"/>
              <w:spacing w:after="0"/>
              <w:rPr>
                <w:sz w:val="20"/>
                <w:szCs w:val="20"/>
                <w:color w:val="auto"/>
              </w:rPr>
            </w:pPr>
            <w:r>
              <w:rPr>
                <w:rFonts w:ascii="Arial" w:cs="Arial" w:eastAsia="Arial" w:hAnsi="Arial"/>
                <w:sz w:val="14"/>
                <w:szCs w:val="14"/>
                <w:b w:val="1"/>
                <w:bCs w:val="1"/>
                <w:color w:val="60BAFF"/>
              </w:rPr>
              <w:t>%</w:t>
            </w:r>
          </w:p>
        </w:tc>
        <w:tc>
          <w:tcPr>
            <w:tcW w:w="1100" w:type="dxa"/>
            <w:vAlign w:val="bottom"/>
          </w:tcPr>
          <w:p>
            <w:pPr>
              <w:spacing w:after="0"/>
              <w:rPr>
                <w:sz w:val="20"/>
                <w:szCs w:val="20"/>
                <w:color w:val="auto"/>
              </w:rPr>
            </w:pPr>
          </w:p>
        </w:tc>
      </w:tr>
      <w:tr>
        <w:trPr>
          <w:trHeight w:val="43"/>
        </w:trPr>
        <w:tc>
          <w:tcPr>
            <w:tcW w:w="5160" w:type="dxa"/>
            <w:vAlign w:val="bottom"/>
            <w:tcBorders>
              <w:bottom w:val="single" w:sz="8" w:color="60BAFF"/>
              <w:right w:val="single" w:sz="8" w:color="B2B2B2"/>
            </w:tcBorders>
          </w:tcPr>
          <w:p>
            <w:pPr>
              <w:spacing w:after="0"/>
              <w:rPr>
                <w:sz w:val="3"/>
                <w:szCs w:val="3"/>
                <w:color w:val="auto"/>
              </w:rPr>
            </w:pPr>
          </w:p>
        </w:tc>
        <w:tc>
          <w:tcPr>
            <w:tcW w:w="1160" w:type="dxa"/>
            <w:vAlign w:val="bottom"/>
            <w:tcBorders>
              <w:bottom w:val="single" w:sz="8" w:color="60BAFF"/>
              <w:right w:val="single" w:sz="8" w:color="B2B2B2"/>
            </w:tcBorders>
          </w:tcPr>
          <w:p>
            <w:pPr>
              <w:spacing w:after="0"/>
              <w:rPr>
                <w:sz w:val="3"/>
                <w:szCs w:val="3"/>
                <w:color w:val="auto"/>
              </w:rPr>
            </w:pPr>
          </w:p>
        </w:tc>
        <w:tc>
          <w:tcPr>
            <w:tcW w:w="1180" w:type="dxa"/>
            <w:vAlign w:val="bottom"/>
            <w:tcBorders>
              <w:bottom w:val="single" w:sz="8" w:color="60BAFF"/>
              <w:right w:val="single" w:sz="8" w:color="B2B2B2"/>
            </w:tcBorders>
          </w:tcPr>
          <w:p>
            <w:pPr>
              <w:spacing w:after="0"/>
              <w:rPr>
                <w:sz w:val="3"/>
                <w:szCs w:val="3"/>
                <w:color w:val="auto"/>
              </w:rPr>
            </w:pPr>
          </w:p>
        </w:tc>
        <w:tc>
          <w:tcPr>
            <w:tcW w:w="1260" w:type="dxa"/>
            <w:vAlign w:val="bottom"/>
            <w:tcBorders>
              <w:bottom w:val="single" w:sz="8" w:color="60BAFF"/>
              <w:right w:val="single" w:sz="8" w:color="B2B2B2"/>
            </w:tcBorders>
          </w:tcPr>
          <w:p>
            <w:pPr>
              <w:spacing w:after="0"/>
              <w:rPr>
                <w:sz w:val="3"/>
                <w:szCs w:val="3"/>
                <w:color w:val="auto"/>
              </w:rPr>
            </w:pPr>
          </w:p>
        </w:tc>
        <w:tc>
          <w:tcPr>
            <w:tcW w:w="1160" w:type="dxa"/>
            <w:vAlign w:val="bottom"/>
            <w:tcBorders>
              <w:bottom w:val="single" w:sz="8" w:color="60BAFF"/>
              <w:right w:val="single" w:sz="8" w:color="B2B2B2"/>
            </w:tcBorders>
          </w:tcPr>
          <w:p>
            <w:pPr>
              <w:spacing w:after="0"/>
              <w:rPr>
                <w:sz w:val="3"/>
                <w:szCs w:val="3"/>
                <w:color w:val="auto"/>
              </w:rPr>
            </w:pPr>
          </w:p>
        </w:tc>
        <w:tc>
          <w:tcPr>
            <w:tcW w:w="1100" w:type="dxa"/>
            <w:vAlign w:val="bottom"/>
            <w:tcBorders>
              <w:bottom w:val="single" w:sz="8" w:color="60BAFF"/>
            </w:tcBorders>
          </w:tcPr>
          <w:p>
            <w:pPr>
              <w:spacing w:after="0"/>
              <w:rPr>
                <w:sz w:val="3"/>
                <w:szCs w:val="3"/>
                <w:color w:val="auto"/>
              </w:rPr>
            </w:pPr>
          </w:p>
        </w:tc>
      </w:tr>
      <w:tr>
        <w:trPr>
          <w:trHeight w:val="183"/>
        </w:trPr>
        <w:tc>
          <w:tcPr>
            <w:tcW w:w="5160" w:type="dxa"/>
            <w:vAlign w:val="bottom"/>
            <w:tcBorders>
              <w:right w:val="single" w:sz="8" w:color="B2B2B2"/>
            </w:tcBorders>
            <w:shd w:val="clear" w:color="auto" w:fill="F2FFFF"/>
          </w:tcPr>
          <w:p>
            <w:pPr>
              <w:ind w:left="60"/>
              <w:spacing w:after="0" w:line="183" w:lineRule="exact"/>
              <w:rPr>
                <w:sz w:val="20"/>
                <w:szCs w:val="20"/>
                <w:color w:val="auto"/>
              </w:rPr>
            </w:pPr>
            <w:r>
              <w:rPr>
                <w:rFonts w:ascii="Arial" w:cs="Arial" w:eastAsia="Arial" w:hAnsi="Arial"/>
                <w:sz w:val="16"/>
                <w:szCs w:val="16"/>
                <w:b w:val="1"/>
                <w:bCs w:val="1"/>
                <w:color w:val="auto"/>
              </w:rPr>
              <w:t>5% Stockholders:</w:t>
            </w:r>
          </w:p>
        </w:tc>
        <w:tc>
          <w:tcPr>
            <w:tcW w:w="1160" w:type="dxa"/>
            <w:vAlign w:val="bottom"/>
            <w:tcBorders>
              <w:right w:val="single" w:sz="8" w:color="B2B2B2"/>
            </w:tcBorders>
            <w:shd w:val="clear" w:color="auto" w:fill="F2FFFF"/>
          </w:tcPr>
          <w:p>
            <w:pPr>
              <w:spacing w:after="0"/>
              <w:rPr>
                <w:sz w:val="15"/>
                <w:szCs w:val="15"/>
                <w:color w:val="auto"/>
              </w:rPr>
            </w:pPr>
          </w:p>
        </w:tc>
        <w:tc>
          <w:tcPr>
            <w:tcW w:w="1180" w:type="dxa"/>
            <w:vAlign w:val="bottom"/>
            <w:tcBorders>
              <w:right w:val="single" w:sz="8" w:color="B2B2B2"/>
            </w:tcBorders>
            <w:shd w:val="clear" w:color="auto" w:fill="F2FFFF"/>
          </w:tcPr>
          <w:p>
            <w:pPr>
              <w:spacing w:after="0"/>
              <w:rPr>
                <w:sz w:val="15"/>
                <w:szCs w:val="15"/>
                <w:color w:val="auto"/>
              </w:rPr>
            </w:pPr>
          </w:p>
        </w:tc>
        <w:tc>
          <w:tcPr>
            <w:tcW w:w="1260" w:type="dxa"/>
            <w:vAlign w:val="bottom"/>
            <w:tcBorders>
              <w:right w:val="single" w:sz="8" w:color="B2B2B2"/>
            </w:tcBorders>
            <w:shd w:val="clear" w:color="auto" w:fill="F2FFFF"/>
          </w:tcPr>
          <w:p>
            <w:pPr>
              <w:spacing w:after="0"/>
              <w:rPr>
                <w:sz w:val="15"/>
                <w:szCs w:val="15"/>
                <w:color w:val="auto"/>
              </w:rPr>
            </w:pPr>
          </w:p>
        </w:tc>
        <w:tc>
          <w:tcPr>
            <w:tcW w:w="1160" w:type="dxa"/>
            <w:vAlign w:val="bottom"/>
            <w:tcBorders>
              <w:right w:val="single" w:sz="8" w:color="B2B2B2"/>
            </w:tcBorders>
            <w:shd w:val="clear" w:color="auto" w:fill="F2FFFF"/>
          </w:tcPr>
          <w:p>
            <w:pPr>
              <w:spacing w:after="0"/>
              <w:rPr>
                <w:sz w:val="15"/>
                <w:szCs w:val="15"/>
                <w:color w:val="auto"/>
              </w:rPr>
            </w:pPr>
          </w:p>
        </w:tc>
        <w:tc>
          <w:tcPr>
            <w:tcW w:w="1100" w:type="dxa"/>
            <w:vAlign w:val="bottom"/>
            <w:shd w:val="clear" w:color="auto" w:fill="F2FFFF"/>
          </w:tcPr>
          <w:p>
            <w:pPr>
              <w:spacing w:after="0"/>
              <w:rPr>
                <w:sz w:val="15"/>
                <w:szCs w:val="15"/>
                <w:color w:val="auto"/>
              </w:rPr>
            </w:pP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Innovius Sirius Capital I, L.P. (2)</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5,209,366</w:t>
            </w:r>
          </w:p>
        </w:tc>
        <w:tc>
          <w:tcPr>
            <w:tcW w:w="118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14.7%</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Institutional Venture Partners XIV, L.P. (3)</w:t>
            </w:r>
          </w:p>
        </w:tc>
        <w:tc>
          <w:tcPr>
            <w:tcW w:w="1160" w:type="dxa"/>
            <w:vAlign w:val="bottom"/>
            <w:tcBorders>
              <w:right w:val="single" w:sz="8" w:color="B2B2B2"/>
            </w:tcBorders>
            <w:shd w:val="clear" w:color="auto" w:fill="F2FFFF"/>
          </w:tcPr>
          <w:p>
            <w:pPr>
              <w:jc w:val="right"/>
              <w:ind w:right="120"/>
              <w:spacing w:after="0"/>
              <w:rPr>
                <w:sz w:val="20"/>
                <w:szCs w:val="20"/>
                <w:color w:val="auto"/>
              </w:rPr>
            </w:pPr>
            <w:r>
              <w:rPr>
                <w:rFonts w:ascii="Arial" w:cs="Arial" w:eastAsia="Arial" w:hAnsi="Arial"/>
                <w:sz w:val="16"/>
                <w:szCs w:val="16"/>
                <w:color w:val="auto"/>
              </w:rPr>
              <w:t>4,454,541</w:t>
            </w:r>
          </w:p>
        </w:tc>
        <w:tc>
          <w:tcPr>
            <w:tcW w:w="1180" w:type="dxa"/>
            <w:vAlign w:val="bottom"/>
            <w:tcBorders>
              <w:right w:val="single" w:sz="8" w:color="B2B2B2"/>
            </w:tcBorders>
            <w:shd w:val="clear" w:color="auto" w:fill="F2FFFF"/>
          </w:tcPr>
          <w:p>
            <w:pPr>
              <w:jc w:val="right"/>
              <w:ind w:right="20"/>
              <w:spacing w:after="0"/>
              <w:rPr>
                <w:sz w:val="20"/>
                <w:szCs w:val="20"/>
                <w:color w:val="auto"/>
              </w:rPr>
            </w:pPr>
            <w:r>
              <w:rPr>
                <w:rFonts w:ascii="Arial" w:cs="Arial" w:eastAsia="Arial" w:hAnsi="Arial"/>
                <w:sz w:val="16"/>
                <w:szCs w:val="16"/>
                <w:color w:val="auto"/>
              </w:rPr>
              <w:t>12.6%</w:t>
            </w:r>
          </w:p>
        </w:tc>
        <w:tc>
          <w:tcPr>
            <w:tcW w:w="1260" w:type="dxa"/>
            <w:vAlign w:val="bottom"/>
            <w:tcBorders>
              <w:right w:val="single" w:sz="8" w:color="B2B2B2"/>
            </w:tcBorders>
            <w:shd w:val="clear" w:color="auto" w:fill="F2FF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FFF"/>
          </w:tcPr>
          <w:p>
            <w:pPr>
              <w:jc w:val="right"/>
              <w:ind w:right="1"/>
              <w:spacing w:after="0"/>
              <w:rPr>
                <w:sz w:val="20"/>
                <w:szCs w:val="20"/>
                <w:color w:val="auto"/>
              </w:rPr>
            </w:pPr>
            <w:r>
              <w:rPr>
                <w:rFonts w:ascii="Arial" w:cs="Arial" w:eastAsia="Arial" w:hAnsi="Arial"/>
                <w:sz w:val="16"/>
                <w:szCs w:val="16"/>
                <w:color w:val="auto"/>
              </w:rPr>
              <w:t>1.3%</w:t>
            </w: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 Rowe Price Associates, Inc. (4)</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1,996,578</w:t>
            </w:r>
          </w:p>
        </w:tc>
        <w:tc>
          <w:tcPr>
            <w:tcW w:w="118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5.6%</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Directors and Named Executive Officers:</w:t>
            </w:r>
          </w:p>
        </w:tc>
        <w:tc>
          <w:tcPr>
            <w:tcW w:w="1160" w:type="dxa"/>
            <w:vAlign w:val="bottom"/>
            <w:tcBorders>
              <w:right w:val="single" w:sz="8" w:color="B2B2B2"/>
            </w:tcBorders>
            <w:shd w:val="clear" w:color="auto" w:fill="F2FFFF"/>
          </w:tcPr>
          <w:p>
            <w:pPr>
              <w:spacing w:after="0"/>
              <w:rPr>
                <w:sz w:val="16"/>
                <w:szCs w:val="16"/>
                <w:color w:val="auto"/>
              </w:rPr>
            </w:pPr>
          </w:p>
        </w:tc>
        <w:tc>
          <w:tcPr>
            <w:tcW w:w="1180" w:type="dxa"/>
            <w:vAlign w:val="bottom"/>
            <w:tcBorders>
              <w:right w:val="single" w:sz="8" w:color="B2B2B2"/>
            </w:tcBorders>
            <w:shd w:val="clear" w:color="auto" w:fill="F2FFFF"/>
          </w:tcPr>
          <w:p>
            <w:pPr>
              <w:spacing w:after="0"/>
              <w:rPr>
                <w:sz w:val="16"/>
                <w:szCs w:val="16"/>
                <w:color w:val="auto"/>
              </w:rPr>
            </w:pPr>
          </w:p>
        </w:tc>
        <w:tc>
          <w:tcPr>
            <w:tcW w:w="1260" w:type="dxa"/>
            <w:vAlign w:val="bottom"/>
            <w:tcBorders>
              <w:right w:val="single" w:sz="8" w:color="B2B2B2"/>
            </w:tcBorders>
            <w:shd w:val="clear" w:color="auto" w:fill="F2FFFF"/>
          </w:tcPr>
          <w:p>
            <w:pPr>
              <w:spacing w:after="0"/>
              <w:rPr>
                <w:sz w:val="16"/>
                <w:szCs w:val="16"/>
                <w:color w:val="auto"/>
              </w:rPr>
            </w:pPr>
          </w:p>
        </w:tc>
        <w:tc>
          <w:tcPr>
            <w:tcW w:w="1160" w:type="dxa"/>
            <w:vAlign w:val="bottom"/>
            <w:tcBorders>
              <w:right w:val="single" w:sz="8" w:color="B2B2B2"/>
            </w:tcBorders>
            <w:shd w:val="clear" w:color="auto" w:fill="F2FFFF"/>
          </w:tcPr>
          <w:p>
            <w:pPr>
              <w:spacing w:after="0"/>
              <w:rPr>
                <w:sz w:val="16"/>
                <w:szCs w:val="16"/>
                <w:color w:val="auto"/>
              </w:rPr>
            </w:pPr>
          </w:p>
        </w:tc>
        <w:tc>
          <w:tcPr>
            <w:tcW w:w="1100" w:type="dxa"/>
            <w:vAlign w:val="bottom"/>
            <w:shd w:val="clear" w:color="auto" w:fill="F2FFFF"/>
          </w:tcPr>
          <w:p>
            <w:pPr>
              <w:spacing w:after="0"/>
              <w:rPr>
                <w:sz w:val="16"/>
                <w:szCs w:val="16"/>
                <w:color w:val="auto"/>
              </w:rPr>
            </w:pP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Tim Chen (5)</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238,748</w:t>
            </w:r>
          </w:p>
        </w:tc>
        <w:tc>
          <w:tcPr>
            <w:tcW w:w="118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31,685,652</w:t>
            </w:r>
          </w:p>
        </w:tc>
        <w:tc>
          <w:tcPr>
            <w:tcW w:w="1160" w:type="dxa"/>
            <w:vAlign w:val="bottom"/>
            <w:tcBorders>
              <w:right w:val="single" w:sz="8" w:color="B2B2B2"/>
            </w:tcBorders>
          </w:tcPr>
          <w:p>
            <w:pPr>
              <w:jc w:val="right"/>
              <w:spacing w:after="0"/>
              <w:rPr>
                <w:sz w:val="20"/>
                <w:szCs w:val="20"/>
                <w:color w:val="auto"/>
              </w:rPr>
            </w:pPr>
            <w:r>
              <w:rPr>
                <w:rFonts w:ascii="Arial" w:cs="Arial" w:eastAsia="Arial" w:hAnsi="Arial"/>
                <w:sz w:val="16"/>
                <w:szCs w:val="16"/>
                <w:color w:val="auto"/>
              </w:rPr>
              <w:t>100%</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90.0%</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John Caine</w:t>
            </w:r>
          </w:p>
        </w:tc>
        <w:tc>
          <w:tcPr>
            <w:tcW w:w="1160" w:type="dxa"/>
            <w:vAlign w:val="bottom"/>
            <w:tcBorders>
              <w:right w:val="single" w:sz="8" w:color="B2B2B2"/>
            </w:tcBorders>
            <w:shd w:val="clear" w:color="auto" w:fill="F2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shd w:val="clear" w:color="auto" w:fill="F2FF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FFF"/>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Kelly Gillease (6)</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391,030</w:t>
            </w:r>
          </w:p>
        </w:tc>
        <w:tc>
          <w:tcPr>
            <w:tcW w:w="1180" w:type="dxa"/>
            <w:vAlign w:val="bottom"/>
            <w:tcBorders>
              <w:right w:val="single" w:sz="8" w:color="B2B2B2"/>
            </w:tcBorders>
          </w:tcPr>
          <w:p>
            <w:pPr>
              <w:jc w:val="right"/>
              <w:ind w:right="20"/>
              <w:spacing w:after="0"/>
              <w:rPr>
                <w:sz w:val="20"/>
                <w:szCs w:val="20"/>
                <w:color w:val="auto"/>
              </w:rPr>
            </w:pPr>
            <w:r>
              <w:rPr>
                <w:rFonts w:ascii="Arial" w:cs="Arial" w:eastAsia="Arial" w:hAnsi="Arial"/>
                <w:sz w:val="16"/>
                <w:szCs w:val="16"/>
                <w:color w:val="auto"/>
              </w:rPr>
              <w:t>1.1%</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Jennifer Ceran (7)</w:t>
            </w:r>
          </w:p>
        </w:tc>
        <w:tc>
          <w:tcPr>
            <w:tcW w:w="1160" w:type="dxa"/>
            <w:vAlign w:val="bottom"/>
            <w:tcBorders>
              <w:right w:val="single" w:sz="8" w:color="B2B2B2"/>
            </w:tcBorders>
            <w:shd w:val="clear" w:color="auto" w:fill="F2FFFF"/>
          </w:tcPr>
          <w:p>
            <w:pPr>
              <w:jc w:val="right"/>
              <w:ind w:right="120"/>
              <w:spacing w:after="0"/>
              <w:rPr>
                <w:sz w:val="20"/>
                <w:szCs w:val="20"/>
                <w:color w:val="auto"/>
              </w:rPr>
            </w:pPr>
            <w:r>
              <w:rPr>
                <w:rFonts w:ascii="Arial" w:cs="Arial" w:eastAsia="Arial" w:hAnsi="Arial"/>
                <w:sz w:val="16"/>
                <w:szCs w:val="16"/>
                <w:color w:val="auto"/>
              </w:rPr>
              <w:t>120,000</w:t>
            </w:r>
          </w:p>
        </w:tc>
        <w:tc>
          <w:tcPr>
            <w:tcW w:w="118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shd w:val="clear" w:color="auto" w:fill="F2FF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FFF"/>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Lynne Laube (8)</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120,000</w:t>
            </w:r>
          </w:p>
        </w:tc>
        <w:tc>
          <w:tcPr>
            <w:tcW w:w="118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Thomas Loverro</w:t>
            </w:r>
          </w:p>
        </w:tc>
        <w:tc>
          <w:tcPr>
            <w:tcW w:w="1160" w:type="dxa"/>
            <w:vAlign w:val="bottom"/>
            <w:tcBorders>
              <w:right w:val="single" w:sz="8" w:color="B2B2B2"/>
            </w:tcBorders>
            <w:shd w:val="clear" w:color="auto" w:fill="F2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shd w:val="clear" w:color="auto" w:fill="F2FFFF"/>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shd w:val="clear" w:color="auto" w:fill="F2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2FFFF"/>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Kenneth McBride</w:t>
            </w:r>
          </w:p>
        </w:tc>
        <w:tc>
          <w:tcPr>
            <w:tcW w:w="1160" w:type="dxa"/>
            <w:vAlign w:val="bottom"/>
            <w:tcBorders>
              <w:right w:val="single" w:sz="8" w:color="B2B2B2"/>
            </w:tcBorders>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B2B2B2"/>
            </w:tcBorders>
          </w:tcPr>
          <w:p>
            <w:pPr>
              <w:jc w:val="right"/>
              <w:ind w:right="14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B2B2B2"/>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w:t>
            </w:r>
          </w:p>
        </w:tc>
      </w:tr>
      <w:tr>
        <w:trPr>
          <w:trHeight w:val="189"/>
        </w:trPr>
        <w:tc>
          <w:tcPr>
            <w:tcW w:w="516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All directors and executive officers as a group (9) (9 persons)</w:t>
            </w:r>
          </w:p>
        </w:tc>
        <w:tc>
          <w:tcPr>
            <w:tcW w:w="1160" w:type="dxa"/>
            <w:vAlign w:val="bottom"/>
            <w:tcBorders>
              <w:right w:val="single" w:sz="8" w:color="B2B2B2"/>
            </w:tcBorders>
            <w:shd w:val="clear" w:color="auto" w:fill="F2FFFF"/>
          </w:tcPr>
          <w:p>
            <w:pPr>
              <w:jc w:val="right"/>
              <w:ind w:right="120"/>
              <w:spacing w:after="0"/>
              <w:rPr>
                <w:sz w:val="20"/>
                <w:szCs w:val="20"/>
                <w:color w:val="auto"/>
              </w:rPr>
            </w:pPr>
            <w:r>
              <w:rPr>
                <w:rFonts w:ascii="Arial" w:cs="Arial" w:eastAsia="Arial" w:hAnsi="Arial"/>
                <w:sz w:val="16"/>
                <w:szCs w:val="16"/>
                <w:color w:val="auto"/>
              </w:rPr>
              <w:t>1,559,858</w:t>
            </w:r>
          </w:p>
        </w:tc>
        <w:tc>
          <w:tcPr>
            <w:tcW w:w="1180" w:type="dxa"/>
            <w:vAlign w:val="bottom"/>
            <w:tcBorders>
              <w:right w:val="single" w:sz="8" w:color="B2B2B2"/>
            </w:tcBorders>
            <w:shd w:val="clear" w:color="auto" w:fill="F2FFFF"/>
          </w:tcPr>
          <w:p>
            <w:pPr>
              <w:jc w:val="right"/>
              <w:ind w:right="20"/>
              <w:spacing w:after="0"/>
              <w:rPr>
                <w:sz w:val="20"/>
                <w:szCs w:val="20"/>
                <w:color w:val="auto"/>
              </w:rPr>
            </w:pPr>
            <w:r>
              <w:rPr>
                <w:rFonts w:ascii="Arial" w:cs="Arial" w:eastAsia="Arial" w:hAnsi="Arial"/>
                <w:sz w:val="16"/>
                <w:szCs w:val="16"/>
                <w:color w:val="auto"/>
              </w:rPr>
              <w:t>4.4%</w:t>
            </w:r>
          </w:p>
        </w:tc>
        <w:tc>
          <w:tcPr>
            <w:tcW w:w="1260" w:type="dxa"/>
            <w:vAlign w:val="bottom"/>
            <w:tcBorders>
              <w:right w:val="single" w:sz="8" w:color="B2B2B2"/>
            </w:tcBorders>
            <w:shd w:val="clear" w:color="auto" w:fill="F2FFFF"/>
          </w:tcPr>
          <w:p>
            <w:pPr>
              <w:jc w:val="right"/>
              <w:ind w:right="140"/>
              <w:spacing w:after="0"/>
              <w:rPr>
                <w:sz w:val="20"/>
                <w:szCs w:val="20"/>
                <w:color w:val="auto"/>
              </w:rPr>
            </w:pPr>
            <w:r>
              <w:rPr>
                <w:rFonts w:ascii="Arial" w:cs="Arial" w:eastAsia="Arial" w:hAnsi="Arial"/>
                <w:sz w:val="16"/>
                <w:szCs w:val="16"/>
                <w:color w:val="auto"/>
              </w:rPr>
              <w:t>31,685,652</w:t>
            </w:r>
          </w:p>
        </w:tc>
        <w:tc>
          <w:tcPr>
            <w:tcW w:w="1160" w:type="dxa"/>
            <w:vAlign w:val="bottom"/>
            <w:tcBorders>
              <w:right w:val="single" w:sz="8" w:color="B2B2B2"/>
            </w:tcBorders>
            <w:shd w:val="clear" w:color="auto" w:fill="F2FFFF"/>
          </w:tcPr>
          <w:p>
            <w:pPr>
              <w:jc w:val="right"/>
              <w:spacing w:after="0"/>
              <w:rPr>
                <w:sz w:val="20"/>
                <w:szCs w:val="20"/>
                <w:color w:val="auto"/>
              </w:rPr>
            </w:pPr>
            <w:r>
              <w:rPr>
                <w:rFonts w:ascii="Arial" w:cs="Arial" w:eastAsia="Arial" w:hAnsi="Arial"/>
                <w:sz w:val="16"/>
                <w:szCs w:val="16"/>
                <w:color w:val="auto"/>
              </w:rPr>
              <w:t>100%</w:t>
            </w:r>
          </w:p>
        </w:tc>
        <w:tc>
          <w:tcPr>
            <w:tcW w:w="1100" w:type="dxa"/>
            <w:vAlign w:val="bottom"/>
            <w:shd w:val="clear" w:color="auto" w:fill="F2FFFF"/>
          </w:tcPr>
          <w:p>
            <w:pPr>
              <w:jc w:val="right"/>
              <w:ind w:right="1"/>
              <w:spacing w:after="0"/>
              <w:rPr>
                <w:sz w:val="20"/>
                <w:szCs w:val="20"/>
                <w:color w:val="auto"/>
              </w:rPr>
            </w:pPr>
            <w:r>
              <w:rPr>
                <w:rFonts w:ascii="Arial" w:cs="Arial" w:eastAsia="Arial" w:hAnsi="Arial"/>
                <w:sz w:val="16"/>
                <w:szCs w:val="16"/>
                <w:color w:val="auto"/>
              </w:rPr>
              <w:t>90.4%</w:t>
            </w:r>
          </w:p>
        </w:tc>
      </w:tr>
    </w:tbl>
    <w:p>
      <w:pPr>
        <w:ind w:left="120"/>
        <w:spacing w:after="0"/>
        <w:rPr>
          <w:sz w:val="20"/>
          <w:szCs w:val="20"/>
          <w:color w:val="auto"/>
        </w:rPr>
      </w:pPr>
      <w:r>
        <w:rPr>
          <w:rFonts w:ascii="Arial" w:cs="Arial" w:eastAsia="Arial" w:hAnsi="Arial"/>
          <w:sz w:val="14"/>
          <w:szCs w:val="14"/>
          <w:i w:val="1"/>
          <w:iCs w:val="1"/>
          <w:color w:val="auto"/>
        </w:rPr>
        <w:t>*Less than 1%</w:t>
      </w:r>
    </w:p>
    <w:p>
      <w:pPr>
        <w:spacing w:after="0" w:line="19" w:lineRule="exact"/>
        <w:rPr>
          <w:sz w:val="20"/>
          <w:szCs w:val="20"/>
          <w:color w:val="auto"/>
        </w:rPr>
      </w:pPr>
    </w:p>
    <w:p>
      <w:pPr>
        <w:ind w:left="120" w:right="180" w:hanging="4"/>
        <w:spacing w:after="0" w:line="261"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of total voting power represents voting power with respect to all shares of the Company’s Class A common stock and Class B common stock, together as a single class. Holders of Class A common stock are entitled to one vote per share, and holders of Class B common stock are entitled to ten votes per share.</w:t>
      </w:r>
    </w:p>
    <w:p>
      <w:pPr>
        <w:ind w:left="120" w:right="200" w:hanging="4"/>
        <w:spacing w:after="0" w:line="261"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on information reported by Innovius Capital Sirius I, L.P. on Schedule 13G filed with the SEC on February 14, 2022. The sole general partner of Innovius Capital Sirius I, L.P. is Innovius Capital GP I, LLC. The sole managing director of Innovius Capital GP I, LLC is Justin Moore. Mr. Moore disclaims beneficial ownership of these securities except to the extent of his respective pecuniary interest therein. The address for this entity is: 2443 Fillmore Street, #380-14279, San Francisco, CA 94115.</w:t>
      </w:r>
    </w:p>
    <w:p>
      <w:pPr>
        <w:spacing w:after="0" w:line="1" w:lineRule="exact"/>
        <w:rPr>
          <w:rFonts w:ascii="Arial" w:cs="Arial" w:eastAsia="Arial" w:hAnsi="Arial"/>
          <w:sz w:val="14"/>
          <w:szCs w:val="14"/>
          <w:i w:val="1"/>
          <w:iCs w:val="1"/>
          <w:color w:val="auto"/>
        </w:rPr>
      </w:pPr>
    </w:p>
    <w:p>
      <w:pPr>
        <w:ind w:left="120" w:right="40" w:hanging="4"/>
        <w:spacing w:after="0" w:line="261"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on information reported by Institutional Venture Partners XIV, L.P. (“IVP XIV”) on Schedule 13G filed with the SEC on February 14, 2022. Institutional Venture Management XIV, LLC (”IVM XIV”) is the General Partner of IVP XIV. IVM XIV may be deemed to indirectly beneficially own the securities owned by IVP XIV. Norman A. Fogelsong, Stephen J. Harrick, Dennis B. Phelps, Jr., Todd C. Chaffee and J. Sanford Miller are Managing Directors of IVM XIV and each share voting and dispositive power over the securities held by IVP XIV. Each disclaims beneficial ownership of these securities except to the extent of his or its respective pecuniary interest therein. The address for this entity is: 3000 Sand Hill Road, Building 2, Suite 250, Menlo Park, CA 94025.</w:t>
      </w:r>
    </w:p>
    <w:p>
      <w:pPr>
        <w:spacing w:after="0" w:line="2" w:lineRule="exact"/>
        <w:rPr>
          <w:rFonts w:ascii="Arial" w:cs="Arial" w:eastAsia="Arial" w:hAnsi="Arial"/>
          <w:sz w:val="14"/>
          <w:szCs w:val="14"/>
          <w:i w:val="1"/>
          <w:iCs w:val="1"/>
          <w:color w:val="auto"/>
        </w:rPr>
      </w:pPr>
    </w:p>
    <w:p>
      <w:pPr>
        <w:ind w:left="120" w:right="180" w:hanging="4"/>
        <w:spacing w:after="0" w:line="261"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Based on information reported by T. Rowe Price Associates, Inc. (“T. Rowe”) on Schedule 13G filed with the SEC on February 14, 2022. T. Rowe has sole voting power over 577,814 shares and sole dispositive power over 1,996,578 shares. The address for this entity is 100 E. Pratt Street, Baltimore, MD 21202.</w:t>
      </w:r>
    </w:p>
    <w:p>
      <w:pPr>
        <w:ind w:left="120" w:right="20" w:hanging="4"/>
        <w:spacing w:after="0" w:line="261"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Class A common stock holdings consist of: (i) 120,000 shares of Class A common stock and (ii) 118,748 shares of Class A common stock issuable upon exercise of stock options vesting within 60 days of March 31, 2022. Class B common stock holdings consist of (i) 16,190,811 shares of Class B common stock held by Tim Chen as Trustee of The Tim Chen Revocable Trust u/a/d 3/11/2016, (ii) 2,639,121 shares of Class B common stock held by Tim Chen as Trustee of The Seed Investor Irrevocable Remainder Trust II u/a/d 8/19/2019, (iii) 4,405,720 shares of Class B common stock held by Tim Chen as Trustee of The Seed Investor Irrevocable Remainder Trust u/a/d 3/11/2016 and (iv) 8,450,000 shares of Class B common stock held by Tim Chen as Trustee of the Seed Investor 2021 Annuity Trust u/a/d 2/25/2021. The Special Trustee of the Seed Investor 2021 Annuity Trust u/a/d 2/25/2021, The Seed Investor 2019 Annuity Trust u/a/d 8/19/2019 and The Seed Investor Irrevocable Remainder Trust u/a/d 3/11/2016, Jessica Davis Mills, has sole voting power over the shares held in such trusts; provided that Mr. Chen, as grantor, may remove and replace the special trustee at any time.</w:t>
      </w:r>
    </w:p>
    <w:p>
      <w:pPr>
        <w:spacing w:after="0" w:line="2" w:lineRule="exact"/>
        <w:rPr>
          <w:rFonts w:ascii="Arial" w:cs="Arial" w:eastAsia="Arial" w:hAnsi="Arial"/>
          <w:sz w:val="14"/>
          <w:szCs w:val="14"/>
          <w:i w:val="1"/>
          <w:iCs w:val="1"/>
          <w:color w:val="auto"/>
        </w:rPr>
      </w:pPr>
    </w:p>
    <w:p>
      <w:pPr>
        <w:ind w:left="120" w:right="60" w:hanging="4"/>
        <w:spacing w:after="0" w:line="272" w:lineRule="auto"/>
        <w:tabs>
          <w:tab w:leader="none" w:pos="336"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(i) various options to purchase an aggregate of 341,905 shares of the Company’s Class A common stock, all of which were granted subject to an early exercise provision and which shares are immediately exercisable, (ii) 2,259 shares of common stock issuable upon exercise of stock options vesting within 60 days of March 31, 2022 and (iii) 46,866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7029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80" w:hanging="741"/>
        <w:spacing w:after="0"/>
        <w:tabs>
          <w:tab w:leader="none" w:pos="108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SECURITY OWNERSHIP OF CERTAIN BENEFICIAL OWNERS AND MANAGEMENT</w:t>
      </w:r>
    </w:p>
    <w:p>
      <w:pPr>
        <w:spacing w:after="0" w:line="160"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an option to purchase 120,000 shares of Class A common stock granted subject to an early exercise provision and which shares are immediately exercisable.</w:t>
      </w:r>
    </w:p>
    <w:p>
      <w:pPr>
        <w:spacing w:after="0" w:line="26" w:lineRule="exact"/>
        <w:rPr>
          <w:rFonts w:ascii="Arial" w:cs="Arial" w:eastAsia="Arial" w:hAnsi="Arial"/>
          <w:sz w:val="14"/>
          <w:szCs w:val="14"/>
          <w:i w:val="1"/>
          <w:iCs w:val="1"/>
          <w:color w:val="auto"/>
        </w:rPr>
      </w:pPr>
    </w:p>
    <w:p>
      <w:pPr>
        <w:ind w:left="340" w:hanging="224"/>
        <w:spacing w:after="0"/>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an option to purchase 120,000 shares of Class A common stock granted subject to an early exercise provision and which shares are immediately exercisable.</w:t>
      </w:r>
    </w:p>
    <w:p>
      <w:pPr>
        <w:spacing w:after="0" w:line="14" w:lineRule="exact"/>
        <w:rPr>
          <w:rFonts w:ascii="Arial" w:cs="Arial" w:eastAsia="Arial" w:hAnsi="Arial"/>
          <w:sz w:val="14"/>
          <w:szCs w:val="14"/>
          <w:i w:val="1"/>
          <w:iCs w:val="1"/>
          <w:color w:val="auto"/>
        </w:rPr>
      </w:pPr>
    </w:p>
    <w:p>
      <w:pPr>
        <w:ind w:left="120" w:right="420" w:hanging="4"/>
        <w:spacing w:after="0" w:line="284" w:lineRule="auto"/>
        <w:tabs>
          <w:tab w:leader="none" w:pos="336"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(i) 1,057,481 shares of Class A common stock issuable upon exercise of early exercisable stock options, subject to a repurchase right until vested, (ii) 127,249 shares of common stock issuable upon exercise of stock options vesting within 60 days of March 31, 2022, and (iii) 375,128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39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AUDIT COMMITTEE REPORT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Audit Committee Report</w:t>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Key Responsibilities of Oversight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behalf of our Board, our Audit Committee provides independent oversight of:</w:t>
      </w:r>
    </w:p>
    <w:p>
      <w:pPr>
        <w:spacing w:after="0" w:line="167"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reliability and integrity of the Company’s accounting policies and financial statements;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w:t>
      </w:r>
    </w:p>
    <w:p>
      <w:pPr>
        <w:spacing w:after="0" w:line="153" w:lineRule="exact"/>
        <w:rPr>
          <w:rFonts w:ascii="Arial" w:cs="Arial" w:eastAsia="Arial" w:hAnsi="Arial"/>
          <w:sz w:val="16"/>
          <w:szCs w:val="16"/>
          <w:color w:val="auto"/>
        </w:rPr>
      </w:pPr>
    </w:p>
    <w:p>
      <w:pPr>
        <w:ind w:left="540" w:right="320" w:hanging="316"/>
        <w:spacing w:after="0" w:line="32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qualifications, scope of work, performance and independence of Deloitte &amp; Touche LLP (“Deloitte”), the Company’s independent registered public accounting firm;</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performance of the Company’s internal audit function and its system of internal controls;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Compliance with the Code of Business Conduct and implementation and effectiveness of the Company’s compliance and ethics programs;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major financial risk exposures, and management’s risk assessment and risk management policies.</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Required Communications with Audit Committee</w:t>
      </w:r>
    </w:p>
    <w:p>
      <w:pPr>
        <w:spacing w:after="0" w:line="249" w:lineRule="exact"/>
        <w:rPr>
          <w:sz w:val="20"/>
          <w:szCs w:val="20"/>
          <w:color w:val="auto"/>
        </w:rPr>
      </w:pPr>
    </w:p>
    <w:p>
      <w:pPr>
        <w:ind w:left="120" w:right="420"/>
        <w:spacing w:after="0" w:line="312" w:lineRule="auto"/>
        <w:rPr>
          <w:sz w:val="20"/>
          <w:szCs w:val="20"/>
          <w:color w:val="auto"/>
        </w:rPr>
      </w:pPr>
      <w:r>
        <w:rPr>
          <w:rFonts w:ascii="Arial" w:cs="Arial" w:eastAsia="Arial" w:hAnsi="Arial"/>
          <w:sz w:val="16"/>
          <w:szCs w:val="16"/>
          <w:color w:val="auto"/>
        </w:rPr>
        <w:t>As part of its oversight of the Company’s Annual Report on Form 10-K for the year ended December 31, 2021, our Audit Committee reviewed and discussed with management and Deloitte, the Company’s audited consolidated financial statements and related footnotes for the year ended December 31, 2021 and Deloitte’s report on those financial statements. Our Audit Committee has discussed with Deloitte the matters required to be discussed by the applicable requirements of the Public Company Accounting Oversight Board (“PCAOB”) and the SEC.</w:t>
      </w:r>
    </w:p>
    <w:p>
      <w:pPr>
        <w:spacing w:after="0" w:line="177"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color w:val="auto"/>
        </w:rPr>
        <w:t>These required communications included Deloitte’s perspective on the quality (not merely the acceptability) of the Company’s accounting principles, the reasonableness of significant estimates and judgments made by management, and the disclosures in the audited consolidated financial statements, including the disclosures relating to critical accounting policies and critical audit matters addressed in Deloitte’s audit report. Our Audit Committee also received the written disclosures and a letter from Deloitte required by the applicable requirements of the PCAOB regarding Deloitte’s communications with our Audit Committee concerning independence. Our Audit Committee has discussed with Deloitte its independence with respect to the Company and has considered whether Deloitte’s provision of non-audit services is compatible with its independence.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Audit Committee Recommendation</w:t>
      </w:r>
    </w:p>
    <w:p>
      <w:pPr>
        <w:spacing w:after="0" w:line="249" w:lineRule="exact"/>
        <w:rPr>
          <w:sz w:val="20"/>
          <w:szCs w:val="20"/>
          <w:color w:val="auto"/>
        </w:rPr>
      </w:pPr>
    </w:p>
    <w:p>
      <w:pPr>
        <w:ind w:left="120" w:right="260"/>
        <w:spacing w:after="0" w:line="319" w:lineRule="auto"/>
        <w:rPr>
          <w:sz w:val="20"/>
          <w:szCs w:val="20"/>
          <w:color w:val="auto"/>
        </w:rPr>
      </w:pPr>
      <w:r>
        <w:rPr>
          <w:rFonts w:ascii="Arial" w:cs="Arial" w:eastAsia="Arial" w:hAnsi="Arial"/>
          <w:sz w:val="16"/>
          <w:szCs w:val="16"/>
          <w:color w:val="auto"/>
        </w:rPr>
        <w:t>Based upon these reviews and discussions, our Audit Committee recommended to our Board that the Company’s audited consolidated financial statements be included in the Annual Report on Form 10-K for the year ended December 31, 2021 to be filed with the SEC. Our Audit Committee also appointed Deloitte to serve as the Company’s independent registered public accounting firm for the year ending December 31, 2022.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has been furnished by the members of our Audit Committee of our Board:</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Audit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Jennifer E. Ceran (Chair)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Lynne Laube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Kenneth T.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7029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80" w:hanging="741"/>
        <w:spacing w:after="0"/>
        <w:tabs>
          <w:tab w:leader="none" w:pos="108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AUDIT COMMITTEE MATTERS</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b w:val="1"/>
          <w:bCs w:val="1"/>
          <w:color w:val="auto"/>
        </w:rPr>
        <w:t>Audit Committee Matters</w:t>
      </w:r>
    </w:p>
    <w:p>
      <w:pPr>
        <w:spacing w:after="0" w:line="3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Pre-Approval Policies and Procedures</w:t>
      </w:r>
    </w:p>
    <w:p>
      <w:pPr>
        <w:spacing w:after="0" w:line="249" w:lineRule="exact"/>
        <w:rPr>
          <w:sz w:val="20"/>
          <w:szCs w:val="20"/>
          <w:color w:val="auto"/>
        </w:rPr>
      </w:pPr>
    </w:p>
    <w:p>
      <w:pPr>
        <w:ind w:left="120" w:right="220"/>
        <w:spacing w:after="0" w:line="312" w:lineRule="auto"/>
        <w:rPr>
          <w:sz w:val="20"/>
          <w:szCs w:val="20"/>
          <w:color w:val="auto"/>
        </w:rPr>
      </w:pPr>
      <w:r>
        <w:rPr>
          <w:rFonts w:ascii="Arial" w:cs="Arial" w:eastAsia="Arial" w:hAnsi="Arial"/>
          <w:sz w:val="16"/>
          <w:szCs w:val="16"/>
          <w:color w:val="auto"/>
        </w:rPr>
        <w:t>Our Audit Committee has the sole authority to review in advance, and pre-approve (which may be pursuant to pre-approval policies and procedures) all audit and non-audit services to be provided by the Company’s independent auditors and to approve all related fees and other terms of engagement to ensure that the provision of these services do not impair the independence of the Company’s independent audit firm from the Company and its subsidiaries.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of the services rendered by Deloitte to the Company and its subsidiaries during 2021 were pre-approved by our Audit Committee.</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Independent Registered Public Accounting Firm Fees</w:t>
      </w:r>
    </w:p>
    <w:p>
      <w:pPr>
        <w:spacing w:after="0" w:line="249" w:lineRule="exact"/>
        <w:rPr>
          <w:sz w:val="20"/>
          <w:szCs w:val="20"/>
          <w:color w:val="auto"/>
        </w:rPr>
      </w:pPr>
    </w:p>
    <w:p>
      <w:pPr>
        <w:ind w:left="120" w:right="220"/>
        <w:spacing w:after="0" w:line="312" w:lineRule="auto"/>
        <w:rPr>
          <w:sz w:val="20"/>
          <w:szCs w:val="20"/>
          <w:color w:val="auto"/>
        </w:rPr>
      </w:pPr>
      <w:r>
        <w:rPr>
          <w:rFonts w:ascii="Arial" w:cs="Arial" w:eastAsia="Arial" w:hAnsi="Arial"/>
          <w:sz w:val="16"/>
          <w:szCs w:val="16"/>
          <w:color w:val="auto"/>
        </w:rPr>
        <w:t>Our Audit Committee retained Deloitte to audit the Company’s consolidated financial statements as of and for the years ended December 31, 2021 and 2020. The following table provides information regarding fees billed by Deloitte (i.e., Deloitte &amp; Touche LLP) and other member firms of Deloitte Touche Tohmatsu Limited and their respective affiliates for the fiscal years ended December 31, 2021 and 2020, inclusive of out-of-pocket expenses (in thousands).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9540" w:type="dxa"/>
            <w:vAlign w:val="bottom"/>
            <w:tcBorders>
              <w:top w:val="single" w:sz="8" w:color="60BAFF"/>
              <w:right w:val="single" w:sz="8" w:color="B2B2B2"/>
            </w:tcBorders>
          </w:tcPr>
          <w:p>
            <w:pPr>
              <w:spacing w:after="0"/>
              <w:rPr>
                <w:sz w:val="19"/>
                <w:szCs w:val="19"/>
                <w:color w:val="auto"/>
              </w:rPr>
            </w:pPr>
          </w:p>
        </w:tc>
        <w:tc>
          <w:tcPr>
            <w:tcW w:w="700" w:type="dxa"/>
            <w:vAlign w:val="bottom"/>
            <w:tcBorders>
              <w:top w:val="single" w:sz="8" w:color="60BAFF"/>
              <w:right w:val="single" w:sz="8" w:color="B2B2B2"/>
            </w:tcBorders>
          </w:tcPr>
          <w:p>
            <w:pPr>
              <w:jc w:val="right"/>
              <w:ind w:right="122"/>
              <w:spacing w:after="0"/>
              <w:rPr>
                <w:sz w:val="20"/>
                <w:szCs w:val="20"/>
                <w:color w:val="auto"/>
              </w:rPr>
            </w:pPr>
            <w:r>
              <w:rPr>
                <w:rFonts w:ascii="Arial" w:cs="Arial" w:eastAsia="Arial" w:hAnsi="Arial"/>
                <w:sz w:val="14"/>
                <w:szCs w:val="14"/>
                <w:b w:val="1"/>
                <w:bCs w:val="1"/>
                <w:color w:val="60BAFF"/>
              </w:rPr>
              <w:t>2021</w:t>
            </w:r>
          </w:p>
        </w:tc>
        <w:tc>
          <w:tcPr>
            <w:tcW w:w="780" w:type="dxa"/>
            <w:vAlign w:val="bottom"/>
            <w:tcBorders>
              <w:top w:val="single" w:sz="8" w:color="60BAFF"/>
            </w:tcBorders>
          </w:tcPr>
          <w:p>
            <w:pPr>
              <w:jc w:val="right"/>
              <w:ind w:right="222"/>
              <w:spacing w:after="0"/>
              <w:rPr>
                <w:sz w:val="20"/>
                <w:szCs w:val="20"/>
                <w:color w:val="auto"/>
              </w:rPr>
            </w:pPr>
            <w:r>
              <w:rPr>
                <w:rFonts w:ascii="Arial" w:cs="Arial" w:eastAsia="Arial" w:hAnsi="Arial"/>
                <w:sz w:val="14"/>
                <w:szCs w:val="14"/>
                <w:b w:val="1"/>
                <w:bCs w:val="1"/>
                <w:color w:val="60BAFF"/>
              </w:rPr>
              <w:t>2020</w:t>
            </w:r>
          </w:p>
        </w:tc>
      </w:tr>
      <w:tr>
        <w:trPr>
          <w:trHeight w:val="210"/>
        </w:trPr>
        <w:tc>
          <w:tcPr>
            <w:tcW w:w="954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Type of Service</w:t>
            </w:r>
          </w:p>
        </w:tc>
        <w:tc>
          <w:tcPr>
            <w:tcW w:w="700" w:type="dxa"/>
            <w:vAlign w:val="bottom"/>
            <w:tcBorders>
              <w:right w:val="single" w:sz="8" w:color="B2B2B2"/>
            </w:tcBorders>
          </w:tcPr>
          <w:p>
            <w:pPr>
              <w:jc w:val="right"/>
              <w:ind w:right="202"/>
              <w:spacing w:after="0"/>
              <w:rPr>
                <w:sz w:val="20"/>
                <w:szCs w:val="20"/>
                <w:color w:val="auto"/>
              </w:rPr>
            </w:pPr>
            <w:r>
              <w:rPr>
                <w:rFonts w:ascii="Arial" w:cs="Arial" w:eastAsia="Arial" w:hAnsi="Arial"/>
                <w:sz w:val="14"/>
                <w:szCs w:val="14"/>
                <w:b w:val="1"/>
                <w:bCs w:val="1"/>
                <w:color w:val="60BAFF"/>
              </w:rPr>
              <w:t>($)</w:t>
            </w: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60BAFF"/>
              </w:rPr>
              <w:t>($)</w:t>
            </w:r>
          </w:p>
        </w:tc>
      </w:tr>
      <w:tr>
        <w:trPr>
          <w:trHeight w:val="43"/>
        </w:trPr>
        <w:tc>
          <w:tcPr>
            <w:tcW w:w="9540" w:type="dxa"/>
            <w:vAlign w:val="bottom"/>
            <w:tcBorders>
              <w:bottom w:val="single" w:sz="8" w:color="60BAFF"/>
              <w:right w:val="single" w:sz="8" w:color="B2B2B2"/>
            </w:tcBorders>
          </w:tcPr>
          <w:p>
            <w:pPr>
              <w:spacing w:after="0"/>
              <w:rPr>
                <w:sz w:val="3"/>
                <w:szCs w:val="3"/>
                <w:color w:val="auto"/>
              </w:rPr>
            </w:pPr>
          </w:p>
        </w:tc>
        <w:tc>
          <w:tcPr>
            <w:tcW w:w="700" w:type="dxa"/>
            <w:vAlign w:val="bottom"/>
            <w:tcBorders>
              <w:bottom w:val="single" w:sz="8" w:color="60BAFF"/>
              <w:right w:val="single" w:sz="8" w:color="B2B2B2"/>
            </w:tcBorders>
          </w:tcPr>
          <w:p>
            <w:pPr>
              <w:spacing w:after="0"/>
              <w:rPr>
                <w:sz w:val="3"/>
                <w:szCs w:val="3"/>
                <w:color w:val="auto"/>
              </w:rPr>
            </w:pPr>
          </w:p>
        </w:tc>
        <w:tc>
          <w:tcPr>
            <w:tcW w:w="780" w:type="dxa"/>
            <w:vAlign w:val="bottom"/>
            <w:tcBorders>
              <w:bottom w:val="single" w:sz="8" w:color="60BAFF"/>
            </w:tcBorders>
          </w:tcPr>
          <w:p>
            <w:pPr>
              <w:spacing w:after="0"/>
              <w:rPr>
                <w:sz w:val="3"/>
                <w:szCs w:val="3"/>
                <w:color w:val="auto"/>
              </w:rPr>
            </w:pPr>
          </w:p>
        </w:tc>
      </w:tr>
      <w:tr>
        <w:trPr>
          <w:trHeight w:val="183"/>
        </w:trPr>
        <w:tc>
          <w:tcPr>
            <w:tcW w:w="9540" w:type="dxa"/>
            <w:vAlign w:val="bottom"/>
            <w:tcBorders>
              <w:right w:val="single" w:sz="8" w:color="B2B2B2"/>
            </w:tcBorders>
          </w:tcPr>
          <w:p>
            <w:pPr>
              <w:ind w:left="6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700" w:type="dxa"/>
            <w:vAlign w:val="bottom"/>
            <w:tcBorders>
              <w:right w:val="single" w:sz="8" w:color="B2B2B2"/>
            </w:tcBorders>
          </w:tcPr>
          <w:p>
            <w:pPr>
              <w:jc w:val="right"/>
              <w:ind w:right="62"/>
              <w:spacing w:after="0" w:line="183" w:lineRule="exact"/>
              <w:rPr>
                <w:sz w:val="20"/>
                <w:szCs w:val="20"/>
                <w:color w:val="auto"/>
              </w:rPr>
            </w:pPr>
            <w:r>
              <w:rPr>
                <w:rFonts w:ascii="Arial" w:cs="Arial" w:eastAsia="Arial" w:hAnsi="Arial"/>
                <w:sz w:val="16"/>
                <w:szCs w:val="16"/>
                <w:color w:val="auto"/>
              </w:rPr>
              <w:t>2,873</w:t>
            </w:r>
          </w:p>
        </w:tc>
        <w:tc>
          <w:tcPr>
            <w:tcW w:w="780" w:type="dxa"/>
            <w:vAlign w:val="bottom"/>
          </w:tcPr>
          <w:p>
            <w:pPr>
              <w:jc w:val="right"/>
              <w:ind w:right="142"/>
              <w:spacing w:after="0" w:line="183" w:lineRule="exact"/>
              <w:rPr>
                <w:sz w:val="20"/>
                <w:szCs w:val="20"/>
                <w:color w:val="auto"/>
              </w:rPr>
            </w:pPr>
            <w:r>
              <w:rPr>
                <w:rFonts w:ascii="Arial" w:cs="Arial" w:eastAsia="Arial" w:hAnsi="Arial"/>
                <w:sz w:val="16"/>
                <w:szCs w:val="16"/>
                <w:color w:val="auto"/>
              </w:rPr>
              <w:t>995</w:t>
            </w:r>
          </w:p>
        </w:tc>
      </w:tr>
      <w:tr>
        <w:trPr>
          <w:trHeight w:val="189"/>
        </w:trPr>
        <w:tc>
          <w:tcPr>
            <w:tcW w:w="9540" w:type="dxa"/>
            <w:vAlign w:val="bottom"/>
            <w:tcBorders>
              <w:right w:val="single" w:sz="8" w:color="B2B2B2"/>
            </w:tcBorders>
            <w:shd w:val="clear" w:color="auto" w:fill="F2FFFF"/>
          </w:tcPr>
          <w:p>
            <w:pPr>
              <w:ind w:left="6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700" w:type="dxa"/>
            <w:vAlign w:val="bottom"/>
            <w:tcBorders>
              <w:right w:val="single" w:sz="8" w:color="B2B2B2"/>
            </w:tcBorders>
            <w:shd w:val="clear" w:color="auto" w:fill="F2FF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shd w:val="clear" w:color="auto" w:fill="F2FFFF"/>
          </w:tcPr>
          <w:p>
            <w:pPr>
              <w:jc w:val="right"/>
              <w:ind w:right="142"/>
              <w:spacing w:after="0"/>
              <w:rPr>
                <w:sz w:val="20"/>
                <w:szCs w:val="20"/>
                <w:color w:val="auto"/>
              </w:rPr>
            </w:pPr>
            <w:r>
              <w:rPr>
                <w:rFonts w:ascii="Arial" w:cs="Arial" w:eastAsia="Arial" w:hAnsi="Arial"/>
                <w:sz w:val="16"/>
                <w:szCs w:val="16"/>
                <w:color w:val="auto"/>
              </w:rPr>
              <w:t>—</w:t>
            </w:r>
          </w:p>
        </w:tc>
      </w:tr>
      <w:tr>
        <w:trPr>
          <w:trHeight w:val="189"/>
        </w:trPr>
        <w:tc>
          <w:tcPr>
            <w:tcW w:w="9540" w:type="dxa"/>
            <w:vAlign w:val="bottom"/>
            <w:tcBorders>
              <w:right w:val="single" w:sz="8" w:color="B2B2B2"/>
            </w:tcBorders>
          </w:tcPr>
          <w:p>
            <w:pPr>
              <w:ind w:left="6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700" w:type="dxa"/>
            <w:vAlign w:val="bottom"/>
            <w:tcBorders>
              <w:right w:val="single" w:sz="8" w:color="B2B2B2"/>
            </w:tcBorders>
          </w:tcPr>
          <w:p>
            <w:pPr>
              <w:jc w:val="right"/>
              <w:ind w:right="62"/>
              <w:spacing w:after="0"/>
              <w:rPr>
                <w:sz w:val="20"/>
                <w:szCs w:val="20"/>
                <w:color w:val="auto"/>
              </w:rPr>
            </w:pPr>
            <w:r>
              <w:rPr>
                <w:rFonts w:ascii="Arial" w:cs="Arial" w:eastAsia="Arial" w:hAnsi="Arial"/>
                <w:sz w:val="16"/>
                <w:szCs w:val="16"/>
                <w:color w:val="auto"/>
              </w:rPr>
              <w:t>471</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437</w:t>
            </w:r>
          </w:p>
        </w:tc>
      </w:tr>
      <w:tr>
        <w:trPr>
          <w:trHeight w:val="189"/>
        </w:trPr>
        <w:tc>
          <w:tcPr>
            <w:tcW w:w="9540" w:type="dxa"/>
            <w:vAlign w:val="bottom"/>
            <w:tcBorders>
              <w:right w:val="single" w:sz="8" w:color="B2B2B2"/>
            </w:tcBorders>
            <w:shd w:val="clear" w:color="auto" w:fill="F2FFFF"/>
          </w:tcPr>
          <w:p>
            <w:pPr>
              <w:ind w:left="60"/>
              <w:spacing w:after="0" w:line="189" w:lineRule="exact"/>
              <w:rPr>
                <w:sz w:val="20"/>
                <w:szCs w:val="20"/>
                <w:color w:val="auto"/>
              </w:rPr>
            </w:pPr>
            <w:r>
              <w:rPr>
                <w:rFonts w:ascii="Arial" w:cs="Arial" w:eastAsia="Arial" w:hAnsi="Arial"/>
                <w:sz w:val="13"/>
                <w:szCs w:val="13"/>
                <w:color w:val="auto"/>
              </w:rPr>
              <w:t>All Other Fees</w:t>
            </w:r>
            <w:r>
              <w:rPr>
                <w:rFonts w:ascii="Arial" w:cs="Arial" w:eastAsia="Arial" w:hAnsi="Arial"/>
                <w:sz w:val="21"/>
                <w:szCs w:val="21"/>
                <w:color w:val="auto"/>
                <w:vertAlign w:val="superscript"/>
              </w:rPr>
              <w:t>(4)</w:t>
            </w:r>
          </w:p>
        </w:tc>
        <w:tc>
          <w:tcPr>
            <w:tcW w:w="700" w:type="dxa"/>
            <w:vAlign w:val="bottom"/>
            <w:tcBorders>
              <w:right w:val="single" w:sz="8" w:color="B2B2B2"/>
            </w:tcBorders>
            <w:shd w:val="clear" w:color="auto" w:fill="F2FFFF"/>
          </w:tcPr>
          <w:p>
            <w:pPr>
              <w:jc w:val="right"/>
              <w:ind w:right="62"/>
              <w:spacing w:after="0"/>
              <w:rPr>
                <w:sz w:val="20"/>
                <w:szCs w:val="20"/>
                <w:color w:val="auto"/>
              </w:rPr>
            </w:pPr>
            <w:r>
              <w:rPr>
                <w:rFonts w:ascii="Arial" w:cs="Arial" w:eastAsia="Arial" w:hAnsi="Arial"/>
                <w:sz w:val="16"/>
                <w:szCs w:val="16"/>
                <w:color w:val="auto"/>
              </w:rPr>
              <w:t>4</w:t>
            </w:r>
          </w:p>
        </w:tc>
        <w:tc>
          <w:tcPr>
            <w:tcW w:w="780" w:type="dxa"/>
            <w:vAlign w:val="bottom"/>
            <w:shd w:val="clear" w:color="auto" w:fill="F2FFFF"/>
          </w:tcPr>
          <w:p>
            <w:pPr>
              <w:jc w:val="right"/>
              <w:ind w:right="142"/>
              <w:spacing w:after="0"/>
              <w:rPr>
                <w:sz w:val="20"/>
                <w:szCs w:val="20"/>
                <w:color w:val="auto"/>
              </w:rPr>
            </w:pPr>
            <w:r>
              <w:rPr>
                <w:rFonts w:ascii="Arial" w:cs="Arial" w:eastAsia="Arial" w:hAnsi="Arial"/>
                <w:sz w:val="16"/>
                <w:szCs w:val="16"/>
                <w:color w:val="auto"/>
              </w:rPr>
              <w:t>277</w:t>
            </w:r>
          </w:p>
        </w:tc>
      </w:tr>
      <w:tr>
        <w:trPr>
          <w:trHeight w:val="189"/>
        </w:trPr>
        <w:tc>
          <w:tcPr>
            <w:tcW w:w="9540" w:type="dxa"/>
            <w:vAlign w:val="bottom"/>
            <w:tcBorders>
              <w:bottom w:val="single" w:sz="8" w:color="B2B2B2"/>
              <w:right w:val="single" w:sz="8" w:color="B2B2B2"/>
            </w:tcBorders>
          </w:tcPr>
          <w:p>
            <w:pPr>
              <w:ind w:left="6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B2B2B2"/>
              <w:right w:val="single" w:sz="8" w:color="B2B2B2"/>
            </w:tcBorders>
          </w:tcPr>
          <w:p>
            <w:pPr>
              <w:jc w:val="right"/>
              <w:ind w:right="62"/>
              <w:spacing w:after="0"/>
              <w:rPr>
                <w:sz w:val="20"/>
                <w:szCs w:val="20"/>
                <w:color w:val="auto"/>
              </w:rPr>
            </w:pPr>
            <w:r>
              <w:rPr>
                <w:rFonts w:ascii="Arial" w:cs="Arial" w:eastAsia="Arial" w:hAnsi="Arial"/>
                <w:sz w:val="16"/>
                <w:szCs w:val="16"/>
                <w:color w:val="auto"/>
              </w:rPr>
              <w:t>3,348</w:t>
            </w:r>
          </w:p>
        </w:tc>
        <w:tc>
          <w:tcPr>
            <w:tcW w:w="780" w:type="dxa"/>
            <w:vAlign w:val="bottom"/>
            <w:tcBorders>
              <w:bottom w:val="single" w:sz="8" w:color="B2B2B2"/>
            </w:tcBorders>
          </w:tcPr>
          <w:p>
            <w:pPr>
              <w:jc w:val="right"/>
              <w:ind w:right="142"/>
              <w:spacing w:after="0"/>
              <w:rPr>
                <w:sz w:val="20"/>
                <w:szCs w:val="20"/>
                <w:color w:val="auto"/>
              </w:rPr>
            </w:pPr>
            <w:r>
              <w:rPr>
                <w:rFonts w:ascii="Arial" w:cs="Arial" w:eastAsia="Arial" w:hAnsi="Arial"/>
                <w:sz w:val="16"/>
                <w:szCs w:val="16"/>
                <w:color w:val="auto"/>
              </w:rPr>
              <w:t>1,709</w:t>
            </w:r>
          </w:p>
        </w:tc>
      </w:tr>
    </w:tbl>
    <w:p>
      <w:pPr>
        <w:spacing w:after="0" w:line="101" w:lineRule="exact"/>
        <w:rPr>
          <w:sz w:val="20"/>
          <w:szCs w:val="20"/>
          <w:color w:val="auto"/>
        </w:rPr>
      </w:pPr>
    </w:p>
    <w:p>
      <w:pPr>
        <w:ind w:left="120" w:right="460" w:hanging="4"/>
        <w:spacing w:after="0" w:line="270" w:lineRule="auto"/>
        <w:tabs>
          <w:tab w:leader="none" w:pos="336"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Audit Fees for professional services associated with the annual audit of our consolidated financial statements, the reviews of our quarterly condensed consolidated financial statements and the issuance of consents and comfort letters in connection with registration statement filings with the SEC.</w:t>
      </w:r>
    </w:p>
    <w:p>
      <w:pPr>
        <w:ind w:left="120" w:right="380" w:hanging="4"/>
        <w:spacing w:after="0" w:line="261" w:lineRule="auto"/>
        <w:tabs>
          <w:tab w:leader="none" w:pos="336"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Audit-Related Fees consist of fees billed for assurance and related services that are reasonably related to the performance of the audit or review of our consolidated financial statements and are not reported under “Audit Fees.”</w:t>
      </w:r>
    </w:p>
    <w:p>
      <w:pPr>
        <w:ind w:left="340" w:hanging="224"/>
        <w:spacing w:after="0"/>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Tax Fees represent fees relating to tax compliance and consulting matters.</w:t>
      </w:r>
    </w:p>
    <w:p>
      <w:pPr>
        <w:spacing w:after="0" w:line="14" w:lineRule="exact"/>
        <w:rPr>
          <w:rFonts w:ascii="Arial" w:cs="Arial" w:eastAsia="Arial" w:hAnsi="Arial"/>
          <w:sz w:val="14"/>
          <w:szCs w:val="14"/>
          <w:i w:val="1"/>
          <w:iCs w:val="1"/>
          <w:color w:val="auto"/>
        </w:rPr>
      </w:pPr>
    </w:p>
    <w:p>
      <w:pPr>
        <w:ind w:left="340" w:hanging="224"/>
        <w:spacing w:after="0"/>
        <w:tabs>
          <w:tab w:leader="none" w:pos="34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All Other Fees represent fees for services other than those included above, including access to accounting research software applications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7029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20" w:lineRule="exact"/>
        <w:rPr>
          <w:sz w:val="20"/>
          <w:szCs w:val="20"/>
          <w:color w:val="auto"/>
        </w:rPr>
      </w:pPr>
    </w:p>
    <w:p>
      <w:pPr>
        <w:ind w:left="120" w:right="1160"/>
        <w:spacing w:after="0" w:line="278" w:lineRule="auto"/>
        <w:rPr>
          <w:sz w:val="20"/>
          <w:szCs w:val="20"/>
          <w:color w:val="auto"/>
        </w:rPr>
      </w:pPr>
      <w:r>
        <w:rPr>
          <w:rFonts w:ascii="Times New Roman" w:cs="Times New Roman" w:eastAsia="Times New Roman" w:hAnsi="Times New Roman"/>
          <w:sz w:val="50"/>
          <w:szCs w:val="50"/>
          <w:color w:val="auto"/>
        </w:rPr>
        <w:t>Proposal No. 2—Approval of Amendment to the NerdWallet, Inc. 2021 Equity Incentive Plan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Introduction</w:t>
      </w:r>
    </w:p>
    <w:p>
      <w:pPr>
        <w:spacing w:after="0" w:line="249" w:lineRule="exact"/>
        <w:rPr>
          <w:sz w:val="20"/>
          <w:szCs w:val="20"/>
          <w:color w:val="auto"/>
        </w:rPr>
      </w:pPr>
    </w:p>
    <w:p>
      <w:pPr>
        <w:jc w:val="both"/>
        <w:ind w:left="120" w:right="100"/>
        <w:spacing w:after="0" w:line="309" w:lineRule="auto"/>
        <w:rPr>
          <w:sz w:val="20"/>
          <w:szCs w:val="20"/>
          <w:color w:val="auto"/>
        </w:rPr>
      </w:pPr>
      <w:r>
        <w:rPr>
          <w:rFonts w:ascii="Arial" w:cs="Arial" w:eastAsia="Arial" w:hAnsi="Arial"/>
          <w:sz w:val="16"/>
          <w:szCs w:val="16"/>
          <w:color w:val="auto"/>
        </w:rPr>
        <w:t>Our stockholders are being asked to approve an amendment (the “Amendment”) to the NerdWallet, Inc. 2021 Equity Incentive Plan (the “2021 Plan”) to increase the aggregate number of shares of Class A common stock reserved for issuance thereunder. The Amendment was approved by our Board on April 6, 2022, subject to approval by our stockholders at the Annual Meeting. If this Proposal No. 2 is approved by our stockholders, the Amendment will become effective upon the date of the Annual Meeting. If the stockholders do not approve this Proposal No. 2, the Amendment will not become effective, and the 2021 Plan will continue in its current form.</w:t>
      </w:r>
    </w:p>
    <w:p>
      <w:pPr>
        <w:spacing w:after="0" w:line="179" w:lineRule="exact"/>
        <w:rPr>
          <w:sz w:val="20"/>
          <w:szCs w:val="20"/>
          <w:color w:val="auto"/>
        </w:rPr>
      </w:pPr>
    </w:p>
    <w:p>
      <w:pPr>
        <w:ind w:left="120" w:right="740"/>
        <w:spacing w:after="0" w:line="339" w:lineRule="auto"/>
        <w:rPr>
          <w:sz w:val="20"/>
          <w:szCs w:val="20"/>
          <w:color w:val="auto"/>
        </w:rPr>
      </w:pPr>
      <w:r>
        <w:rPr>
          <w:rFonts w:ascii="Arial" w:cs="Arial" w:eastAsia="Arial" w:hAnsi="Arial"/>
          <w:sz w:val="16"/>
          <w:szCs w:val="16"/>
          <w:color w:val="auto"/>
        </w:rPr>
        <w:t>Our sole reason for amending the 2021 Plan is to increase the number of shares of Class A common stock reserved for issuance thereunder by 8,000,000 (as well as a corresponding increase in the number of shares issuable pursuant to the exercise of incentive stock options).</w:t>
      </w:r>
    </w:p>
    <w:p>
      <w:pPr>
        <w:spacing w:after="0" w:line="155" w:lineRule="exact"/>
        <w:rPr>
          <w:sz w:val="20"/>
          <w:szCs w:val="20"/>
          <w:color w:val="auto"/>
        </w:rPr>
      </w:pPr>
    </w:p>
    <w:p>
      <w:pPr>
        <w:ind w:left="120" w:right="80"/>
        <w:spacing w:after="0" w:line="319" w:lineRule="auto"/>
        <w:rPr>
          <w:sz w:val="20"/>
          <w:szCs w:val="20"/>
          <w:color w:val="auto"/>
        </w:rPr>
      </w:pPr>
      <w:r>
        <w:rPr>
          <w:rFonts w:ascii="Arial" w:cs="Arial" w:eastAsia="Arial" w:hAnsi="Arial"/>
          <w:sz w:val="16"/>
          <w:szCs w:val="16"/>
          <w:color w:val="auto"/>
        </w:rPr>
        <w:t>The full text of the 2021 Plan, as amended by the Amendment (the “Amended Plan”) is attached as Annex A to this proxy statement. The description of the Amended Plan contained in this proposal is only a summary of its principal terms and provisions and is qualified by reference to the actual text as set forth in Annex A.</w:t>
      </w:r>
    </w:p>
    <w:p>
      <w:pPr>
        <w:spacing w:after="0" w:line="171" w:lineRule="exact"/>
        <w:rPr>
          <w:sz w:val="20"/>
          <w:szCs w:val="20"/>
          <w:color w:val="auto"/>
        </w:rPr>
      </w:pPr>
    </w:p>
    <w:p>
      <w:pPr>
        <w:ind w:left="120" w:right="60"/>
        <w:spacing w:after="0" w:line="307" w:lineRule="auto"/>
        <w:rPr>
          <w:sz w:val="20"/>
          <w:szCs w:val="20"/>
          <w:color w:val="auto"/>
        </w:rPr>
      </w:pPr>
      <w:r>
        <w:rPr>
          <w:rFonts w:ascii="Arial" w:cs="Arial" w:eastAsia="Arial" w:hAnsi="Arial"/>
          <w:sz w:val="16"/>
          <w:szCs w:val="16"/>
          <w:color w:val="auto"/>
        </w:rPr>
        <w:t>Pursuant to the Amended Plan, we may grant incentive stock options (“ISOs”), nonstatutory stock options (“NSOs”), stock appreciation rights, restricted stock awards, restricted stock unit awards, performance-based stock awards, and other stock awards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 We believe that the effective use of equity incentives is essential to attract, motivate, and retain employees and other service providers of the Company, to further align participants’ interests with those of our stockholders, and to provide participants incentive compensation opportunities that are competitive.</w:t>
      </w:r>
    </w:p>
    <w:p>
      <w:pPr>
        <w:spacing w:after="0" w:line="181"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color w:val="auto"/>
        </w:rPr>
        <w:t>As of April 1, 2022, of the 4,062,125 shares of Class A common stock currently reserved for issuance under the 2021 Plan (not taking into account any shares that may become available through forfeiture or cancellation of awards under the predecessor plan), 657,255 shares remained available for future grant. Our Board believes that the increase in the share reserve is necessary for the Company to continue to attract, motivate and retain service providers of the Company, link incentive awards to Company performance, encourage employee and director ownership in the Company and further align their interests with those of our stockholders. Increasing the share reserve will allow the Company to continue to provide a variety of stock awards as part of the Company’s compensation program, which is an important tool for attracting, motivating and retaining our Nerds and for creating stockholder value. Increasing the share reserve would also support the Company’s balanced pay-for-performance compensation philosophy, wherein the Company utilizes a mix of components, including stock awards, to facilitate management decisions that foster longer-term stability. If the additional shares are not approved, our Board believes that the remaining shares of Class A common stock reserved for issuance under the 2021 Plan will be insufficient to accomplish these purposes for the remainder of 2022 before the automatic increase to the 2021 Plan’s authorized share reserve on January 1, 2023 (as described below).</w:t>
      </w:r>
    </w:p>
    <w:p>
      <w:pPr>
        <w:spacing w:after="0" w:line="188" w:lineRule="exact"/>
        <w:rPr>
          <w:sz w:val="20"/>
          <w:szCs w:val="20"/>
          <w:color w:val="auto"/>
        </w:rPr>
      </w:pPr>
    </w:p>
    <w:p>
      <w:pPr>
        <w:ind w:left="120" w:right="180"/>
        <w:spacing w:after="0" w:line="339" w:lineRule="auto"/>
        <w:rPr>
          <w:sz w:val="20"/>
          <w:szCs w:val="20"/>
          <w:color w:val="auto"/>
        </w:rPr>
      </w:pPr>
      <w:r>
        <w:rPr>
          <w:rFonts w:ascii="Arial" w:cs="Arial" w:eastAsia="Arial" w:hAnsi="Arial"/>
          <w:sz w:val="16"/>
          <w:szCs w:val="16"/>
          <w:color w:val="auto"/>
        </w:rPr>
        <w:t>As of December 31, 2021, approximately 675 employees, 4 non-employee directors and 7 consultants were eligible to participate in the 2021 Plan. The basis for participation in the Amended Plan is being eligible and selected by the plan administrator to receive a grant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120" w:right="320"/>
        <w:spacing w:after="0" w:line="339" w:lineRule="auto"/>
        <w:rPr>
          <w:sz w:val="20"/>
          <w:szCs w:val="20"/>
          <w:color w:val="auto"/>
        </w:rPr>
      </w:pPr>
      <w:r>
        <w:rPr>
          <w:rFonts w:ascii="Arial" w:cs="Arial" w:eastAsia="Arial" w:hAnsi="Arial"/>
          <w:sz w:val="16"/>
          <w:szCs w:val="16"/>
          <w:color w:val="auto"/>
        </w:rPr>
        <w:t>Based on the closing price of our Class A common stock, $0.0001 par value, on the Nasdaq Global Market on April 1, 2022, the aggregate fair market value of the new 8,000,000 shares requested for issuance under the Amendment was $95,200,000.</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Recommendation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Our Board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the amendment to the NerdWallet, Inc.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17145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Why Stockholders Should Approve the 2021 Plan Amendment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determining whether and how many additional shares of Class A common stock to propose to reserve for issuance under the Amended Plan,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Committee considered the following factors, among others:</w:t>
      </w:r>
    </w:p>
    <w:p>
      <w:pPr>
        <w:spacing w:after="0" w:line="167" w:lineRule="exact"/>
        <w:rPr>
          <w:sz w:val="20"/>
          <w:szCs w:val="20"/>
          <w:color w:val="auto"/>
        </w:rPr>
      </w:pPr>
    </w:p>
    <w:p>
      <w:pPr>
        <w:ind w:left="540" w:right="20" w:hanging="316"/>
        <w:spacing w:after="0" w:line="29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Remaining Competitive. </w:t>
      </w:r>
      <w:r>
        <w:rPr>
          <w:rFonts w:ascii="Arial" w:cs="Arial" w:eastAsia="Arial" w:hAnsi="Arial"/>
          <w:sz w:val="16"/>
          <w:szCs w:val="16"/>
          <w:color w:val="auto"/>
        </w:rPr>
        <w:t>The Amended Plan plays an important role in our human capital management strategy, our compensation philosophy and</w:t>
      </w:r>
      <w:r>
        <w:rPr>
          <w:rFonts w:ascii="Arial" w:cs="Arial" w:eastAsia="Arial" w:hAnsi="Arial"/>
          <w:sz w:val="16"/>
          <w:szCs w:val="16"/>
          <w:b w:val="1"/>
          <w:bCs w:val="1"/>
          <w:color w:val="auto"/>
        </w:rPr>
        <w:t xml:space="preserve"> </w:t>
      </w:r>
      <w:r>
        <w:rPr>
          <w:rFonts w:ascii="Arial" w:cs="Arial" w:eastAsia="Arial" w:hAnsi="Arial"/>
          <w:sz w:val="16"/>
          <w:szCs w:val="16"/>
          <w:color w:val="auto"/>
        </w:rPr>
        <w:t>our efforts to further align the interests of plan participants with those of our stockholders. Moreover, we believe that to be competitive in our industry, equity compensation awards are an important tool in attracting, motivating and retaining highly skilled employees and other service providers, upon whose efforts our success is dependent. It is critical that we have the ability to issue equity to these individuals to further align their interests to those of our stockholders and the creation of long-term stockholder value.</w:t>
      </w:r>
    </w:p>
    <w:p>
      <w:pPr>
        <w:spacing w:after="0" w:line="86" w:lineRule="exact"/>
        <w:rPr>
          <w:rFonts w:ascii="Arial" w:cs="Arial" w:eastAsia="Arial" w:hAnsi="Arial"/>
          <w:sz w:val="16"/>
          <w:szCs w:val="16"/>
          <w:color w:val="auto"/>
        </w:rPr>
      </w:pPr>
    </w:p>
    <w:p>
      <w:pPr>
        <w:ind w:left="540" w:right="620" w:hanging="316"/>
        <w:spacing w:after="0" w:line="32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Equity Awards Are an Important Component of the Company’s Compensation Program. </w:t>
      </w:r>
      <w:r>
        <w:rPr>
          <w:rFonts w:ascii="Arial" w:cs="Arial" w:eastAsia="Arial" w:hAnsi="Arial"/>
          <w:sz w:val="16"/>
          <w:szCs w:val="16"/>
          <w:color w:val="auto"/>
        </w:rPr>
        <w:t>The Amended Plan will help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to attract, motivate and retain our Nerds and other service providers.</w:t>
      </w:r>
    </w:p>
    <w:p>
      <w:pPr>
        <w:spacing w:after="0" w:line="61" w:lineRule="exact"/>
        <w:rPr>
          <w:rFonts w:ascii="Arial" w:cs="Arial" w:eastAsia="Arial" w:hAnsi="Arial"/>
          <w:sz w:val="16"/>
          <w:szCs w:val="16"/>
          <w:color w:val="auto"/>
        </w:rPr>
      </w:pPr>
    </w:p>
    <w:p>
      <w:pPr>
        <w:jc w:val="both"/>
        <w:ind w:left="540" w:right="280" w:hanging="316"/>
        <w:spacing w:after="0" w:line="30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Equity Incentives Further Align the Interests of Participants with Those of Our Stockholders. </w:t>
      </w:r>
      <w:r>
        <w:rPr>
          <w:rFonts w:ascii="Arial" w:cs="Arial" w:eastAsia="Arial" w:hAnsi="Arial"/>
          <w:sz w:val="16"/>
          <w:szCs w:val="16"/>
          <w:color w:val="auto"/>
        </w:rPr>
        <w:t>Equity incentives appropriately further align</w:t>
      </w:r>
      <w:r>
        <w:rPr>
          <w:rFonts w:ascii="Arial" w:cs="Arial" w:eastAsia="Arial" w:hAnsi="Arial"/>
          <w:sz w:val="16"/>
          <w:szCs w:val="16"/>
          <w:b w:val="1"/>
          <w:bCs w:val="1"/>
          <w:color w:val="auto"/>
        </w:rPr>
        <w:t xml:space="preserve"> </w:t>
      </w:r>
      <w:r>
        <w:rPr>
          <w:rFonts w:ascii="Arial" w:cs="Arial" w:eastAsia="Arial" w:hAnsi="Arial"/>
          <w:sz w:val="16"/>
          <w:szCs w:val="16"/>
          <w:color w:val="auto"/>
        </w:rPr>
        <w:t>award recipients with stockholders by giving them a common interest in our Company’s growth and success, by incentivizing award recipients to focus on growth in stockholder value.</w:t>
      </w:r>
    </w:p>
    <w:p>
      <w:pPr>
        <w:spacing w:after="0" w:line="77" w:lineRule="exact"/>
        <w:rPr>
          <w:rFonts w:ascii="Arial" w:cs="Arial" w:eastAsia="Arial" w:hAnsi="Arial"/>
          <w:sz w:val="16"/>
          <w:szCs w:val="16"/>
          <w:color w:val="auto"/>
        </w:rPr>
      </w:pPr>
    </w:p>
    <w:p>
      <w:pPr>
        <w:ind w:left="540" w:right="80" w:hanging="316"/>
        <w:spacing w:after="0" w:line="321"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The Size of Our Request is Reasonable. </w:t>
      </w:r>
      <w:r>
        <w:rPr>
          <w:rFonts w:ascii="Arial" w:cs="Arial" w:eastAsia="Arial" w:hAnsi="Arial"/>
          <w:sz w:val="16"/>
          <w:szCs w:val="16"/>
          <w:color w:val="auto"/>
        </w:rPr>
        <w:t>The additional 8,000,000 shares of Class A common stock represent 23% of the Class A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and 2% of the voting power of our capital stock, based on total shares outstanding as of April 1, 2022.</w:t>
      </w:r>
    </w:p>
    <w:p>
      <w:pPr>
        <w:spacing w:after="0" w:line="61" w:lineRule="exact"/>
        <w:rPr>
          <w:rFonts w:ascii="Arial" w:cs="Arial" w:eastAsia="Arial" w:hAnsi="Arial"/>
          <w:sz w:val="16"/>
          <w:szCs w:val="16"/>
          <w:color w:val="auto"/>
        </w:rPr>
      </w:pPr>
    </w:p>
    <w:p>
      <w:pPr>
        <w:ind w:left="540" w:right="80" w:hanging="316"/>
        <w:spacing w:after="0" w:line="285"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Future Use of Shares. </w:t>
      </w:r>
      <w:r>
        <w:rPr>
          <w:rFonts w:ascii="Arial" w:cs="Arial" w:eastAsia="Arial" w:hAnsi="Arial"/>
          <w:sz w:val="16"/>
          <w:szCs w:val="16"/>
          <w:color w:val="auto"/>
        </w:rPr>
        <w:t>In determining projected share usage, the Compensation Committee, in consultation with our compensation consultant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advisors, considered a forecast that included the following factors, among others: (1) the 657,255 shares that remained available under the 2021 Plan as of April 1, 2022; (2) the additional 8,000,000 shares that would be available for grant under the Amended Plan if our stockholders approve the Amendment; (3) estimated cancellations or forfeitures that may return to the Amended Plan reserve in the future; (4) forecasted future grants; and (5) the feature of the Amended Plan providing that the aggregate number of shares issuable under the plan will automatically increase on January 1st of each year for a period of nine years commencing on January 1, 2023 and ending on (and including) January 1, 2031, in an amount equal to 5% of the total number of shares of capital stock outstanding on the last day of the preceding calendar year, provided, however that our Board may act to provide that the increase for any such year will be a lesser number of shares. After considering these factors, and assumptions and modeling about the potential range of our stock price over the period, we currently anticipate that the shares under the Amended Plan, after addition of the 8,000,000 shares proposed by the Amendment, will be sufficient for our purpose for the remainder of 2022. However, future events, circumstances and changes in our business needs may result in the shares being exhausted earlier or later than this estimate. We will continue to monitor our equity award usage in future years to help ensure our burn rate remains within competitive market norms.</w:t>
      </w:r>
    </w:p>
    <w:p>
      <w:pPr>
        <w:spacing w:after="0" w:line="91" w:lineRule="exact"/>
        <w:rPr>
          <w:rFonts w:ascii="Arial" w:cs="Arial" w:eastAsia="Arial" w:hAnsi="Arial"/>
          <w:sz w:val="16"/>
          <w:szCs w:val="16"/>
          <w:color w:val="auto"/>
        </w:rPr>
      </w:pPr>
    </w:p>
    <w:p>
      <w:pPr>
        <w:ind w:left="540" w:right="100" w:hanging="316"/>
        <w:spacing w:after="0" w:line="295"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Shares Remaining Available Under the 2021 Plan May be Insufficient. </w:t>
      </w:r>
      <w:r>
        <w:rPr>
          <w:rFonts w:ascii="Arial" w:cs="Arial" w:eastAsia="Arial" w:hAnsi="Arial"/>
          <w:sz w:val="16"/>
          <w:szCs w:val="16"/>
          <w:color w:val="auto"/>
        </w:rPr>
        <w:t>In determining the number of shares to propose to add to the 2021 Plan</w:t>
      </w:r>
      <w:r>
        <w:rPr>
          <w:rFonts w:ascii="Arial" w:cs="Arial" w:eastAsia="Arial" w:hAnsi="Arial"/>
          <w:sz w:val="16"/>
          <w:szCs w:val="16"/>
          <w:b w:val="1"/>
          <w:bCs w:val="1"/>
          <w:color w:val="auto"/>
        </w:rPr>
        <w:t xml:space="preserve"> </w:t>
      </w:r>
      <w:r>
        <w:rPr>
          <w:rFonts w:ascii="Arial" w:cs="Arial" w:eastAsia="Arial" w:hAnsi="Arial"/>
          <w:sz w:val="16"/>
          <w:szCs w:val="16"/>
          <w:color w:val="auto"/>
        </w:rPr>
        <w:t>reserve, the Compensation Committee projected future share usage needs for the Company to be able to make competitive grants to participants. The shares that remain available under the current 2021 Plan may be insufficient for our future needs in attracting, motivating and retaining our employees and other service providers for the remainder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7029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43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Summary of the Amended Plan</w:t>
      </w:r>
    </w:p>
    <w:p>
      <w:pPr>
        <w:spacing w:after="0" w:line="249" w:lineRule="exact"/>
        <w:rPr>
          <w:sz w:val="20"/>
          <w:szCs w:val="20"/>
          <w:color w:val="auto"/>
        </w:rPr>
      </w:pPr>
    </w:p>
    <w:p>
      <w:pPr>
        <w:ind w:left="120" w:right="400"/>
        <w:spacing w:after="0" w:line="339" w:lineRule="auto"/>
        <w:rPr>
          <w:sz w:val="20"/>
          <w:szCs w:val="20"/>
          <w:color w:val="auto"/>
        </w:rPr>
      </w:pPr>
      <w:r>
        <w:rPr>
          <w:rFonts w:ascii="Arial" w:cs="Arial" w:eastAsia="Arial" w:hAnsi="Arial"/>
          <w:sz w:val="16"/>
          <w:szCs w:val="16"/>
          <w:color w:val="auto"/>
        </w:rPr>
        <w:t>Our Board adopted, and our stockholders approved, the 2021 Plan in October 2021. Our Board adopted the Amendment on April 6, 2022, subject to stockholder approval.</w:t>
      </w:r>
    </w:p>
    <w:p>
      <w:pPr>
        <w:spacing w:after="0" w:line="155" w:lineRule="exact"/>
        <w:rPr>
          <w:sz w:val="20"/>
          <w:szCs w:val="20"/>
          <w:color w:val="auto"/>
        </w:rPr>
      </w:pPr>
    </w:p>
    <w:p>
      <w:pPr>
        <w:ind w:left="120" w:right="480"/>
        <w:spacing w:after="0" w:line="339" w:lineRule="auto"/>
        <w:rPr>
          <w:sz w:val="20"/>
          <w:szCs w:val="20"/>
          <w:color w:val="auto"/>
        </w:rPr>
      </w:pPr>
      <w:r>
        <w:rPr>
          <w:rFonts w:ascii="Arial" w:cs="Arial" w:eastAsia="Arial" w:hAnsi="Arial"/>
          <w:sz w:val="16"/>
          <w:szCs w:val="16"/>
          <w:color w:val="auto"/>
        </w:rPr>
        <w:t>The following is a summary of the principal features of the Amended Plan. This summary is qualified in its entirety by reference to the full text of the Amended Plan, which is attached as Annex A to this proxy statement.</w:t>
      </w:r>
    </w:p>
    <w:p>
      <w:pPr>
        <w:spacing w:after="0" w:line="155" w:lineRule="exact"/>
        <w:rPr>
          <w:sz w:val="20"/>
          <w:szCs w:val="20"/>
          <w:color w:val="auto"/>
        </w:rPr>
      </w:pPr>
    </w:p>
    <w:p>
      <w:pPr>
        <w:ind w:left="120"/>
        <w:spacing w:after="0" w:line="312" w:lineRule="auto"/>
        <w:rPr>
          <w:sz w:val="20"/>
          <w:szCs w:val="20"/>
          <w:color w:val="auto"/>
        </w:rPr>
      </w:pPr>
      <w:r>
        <w:rPr>
          <w:rFonts w:ascii="Arial" w:cs="Arial" w:eastAsia="Arial" w:hAnsi="Arial"/>
          <w:sz w:val="16"/>
          <w:szCs w:val="16"/>
          <w:color w:val="auto"/>
        </w:rPr>
        <w:t>The Amended Plan, which originally became effective November 3, 2021, provides for the grant of ISOs, NSOs, stock appreciation rights, restricted stock awards, restricted stock unit awards, performance-based stock awards, and other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77" w:lineRule="exact"/>
        <w:rPr>
          <w:sz w:val="20"/>
          <w:szCs w:val="20"/>
          <w:color w:val="auto"/>
        </w:rPr>
      </w:pPr>
    </w:p>
    <w:p>
      <w:pPr>
        <w:ind w:left="120" w:right="20"/>
        <w:spacing w:after="0" w:line="305"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If the Amendment is approved by our stockholders, the aggregate number of shares of our Class A common stock that may be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stock awards under the Amended Plan will not exceed the sum of (i) 12,062,125 (which represents the new shares under the 2021 Plan as originally adopted, plus the 8,000,000 shares additional shares proposed by the Amendment) and (ii) shares subject to outstanding stock awards under the Company’s predecessor plan that are forfeited, terminated, expire, or otherwise are not issued (which outstanding stock awards, as of the original effective date of such plan, related to 10,296,500 shares). Additionally, the number of shares of our Class A common stock reserved for issuance under the Amended Plan will automatically increase on January 1 of each calendar year, starting January 1, 2023 and ending on and including January 1, 2031, in an amount equal to five percent (5%) of the total number of shares of our capital stock outstanding on December 31 of the prior calendar year, unless our Board or Compensation Committee determines prior to the date of increase that there will be a lesser increase, or no increase.</w:t>
      </w:r>
    </w:p>
    <w:p>
      <w:pPr>
        <w:spacing w:after="0" w:line="181" w:lineRule="exact"/>
        <w:rPr>
          <w:sz w:val="20"/>
          <w:szCs w:val="20"/>
          <w:color w:val="auto"/>
        </w:rPr>
      </w:pPr>
    </w:p>
    <w:p>
      <w:pPr>
        <w:ind w:left="120"/>
        <w:spacing w:after="0" w:line="312" w:lineRule="auto"/>
        <w:rPr>
          <w:sz w:val="20"/>
          <w:szCs w:val="20"/>
          <w:color w:val="auto"/>
        </w:rPr>
      </w:pPr>
      <w:r>
        <w:rPr>
          <w:rFonts w:ascii="Arial" w:cs="Arial" w:eastAsia="Arial" w:hAnsi="Arial"/>
          <w:sz w:val="16"/>
          <w:szCs w:val="16"/>
          <w:color w:val="auto"/>
        </w:rPr>
        <w:t>Shares subject to stock awards granted under the Amended Plan that expire or terminate without being exercised in full, or that are paid out in cash rather than in shares, do not reduce the number of shares available for issuance under the Amended Plan. Additionally, shares become available for future grant under the Amended Plan if they were issued under stock awards under the Amended Plan and we repurchase them or they are forfeited. This includes shares used to pay the exercise price of a stock award or to satisfy the tax withholding obligations related to a stock award.</w:t>
      </w:r>
    </w:p>
    <w:p>
      <w:pPr>
        <w:spacing w:after="0" w:line="177" w:lineRule="exact"/>
        <w:rPr>
          <w:sz w:val="20"/>
          <w:szCs w:val="20"/>
          <w:color w:val="auto"/>
        </w:rPr>
      </w:pPr>
    </w:p>
    <w:p>
      <w:pPr>
        <w:ind w:left="120" w:right="360"/>
        <w:spacing w:after="0" w:line="319"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or a duly authorized committee of our Board, administers the Amended Plan. Our Board may also delegate to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of our officers the authority to (i) designate employees (other than officers) to receive specified stock awards, and (ii) determine the number of shares subject to such stock awards. Under the Amended Plan, our Board has the authority to determine and amend the terms of awards, including:</w:t>
      </w:r>
    </w:p>
    <w:p>
      <w:pPr>
        <w:spacing w:after="0" w:line="76"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recipients;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exercise, purchase or strike price of stock awards, if any;</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fair market value of a share of our Class A common stock in the event no public market exists for our Class A common stock;</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vesting schedule applicable to the awards, together with any vesting acceleration;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form of consideration, if any, payable upon exercise or settlement of the award.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Amended Plan, our Board also generally has the authority to effect, with the consent of any adversely affected participant:</w:t>
      </w:r>
    </w:p>
    <w:p>
      <w:pPr>
        <w:spacing w:after="0" w:line="167" w:lineRule="exact"/>
        <w:rPr>
          <w:sz w:val="20"/>
          <w:szCs w:val="20"/>
          <w:color w:val="auto"/>
        </w:rPr>
      </w:pPr>
    </w:p>
    <w:p>
      <w:pPr>
        <w:ind w:left="540" w:hanging="316"/>
        <w:spacing w:after="0"/>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reduction of the exercise, purchase or strike price of any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7029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80" w:hanging="741"/>
        <w:spacing w:after="0"/>
        <w:tabs>
          <w:tab w:leader="none" w:pos="108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cancellation of any outstanding stock award and the grant in substitution therefor of other awards, cash or other consideration; or</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other action that is treated as a repricing under generally accepted accounting principles.</w:t>
      </w:r>
    </w:p>
    <w:p>
      <w:pPr>
        <w:spacing w:after="0" w:line="248"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i w:val="1"/>
          <w:iCs w:val="1"/>
          <w:color w:val="auto"/>
        </w:rPr>
        <w:t xml:space="preserve">Non-Employee Director Limitation. </w:t>
      </w:r>
      <w:r>
        <w:rPr>
          <w:rFonts w:ascii="Arial" w:cs="Arial" w:eastAsia="Arial" w:hAnsi="Arial"/>
          <w:sz w:val="16"/>
          <w:szCs w:val="16"/>
          <w:color w:val="auto"/>
        </w:rPr>
        <w:t>The maximum number of shares of Class A common stock subject to awards granted under the Amended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non-employee director, taken together with any cash fees paid by us to the non-employee director during that year for service on the Board, will not exceed $750,000 in total value (calculating the value of the awards based on the grant date fair value for financial reporting purposes), or, with respect to the calendar year in which a non-employee director is first appointed or elected to the Board, $1,000,000.</w:t>
      </w:r>
    </w:p>
    <w:p>
      <w:pPr>
        <w:spacing w:after="0" w:line="177" w:lineRule="exact"/>
        <w:rPr>
          <w:sz w:val="20"/>
          <w:szCs w:val="20"/>
          <w:color w:val="auto"/>
        </w:rPr>
      </w:pPr>
    </w:p>
    <w:p>
      <w:pPr>
        <w:ind w:left="120" w:right="180"/>
        <w:spacing w:after="0" w:line="309"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stock option agreements adopted by the plan administrator. The plan administrator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stock options, within the terms and conditions of the Amended Plan, provided that the exercise price of a stock option generally cannot be less than 100% of the fair market value of our Class A common stock on the date of grant. Options granted under the Amended Plan vest at the rate specified in the stock option agreement as determined by the plan administrator. The maximum number of shares of our Class A common stock that may be issued upon the exercise of ISOs under the Amended Plan is equal to 53,000,000.</w:t>
      </w:r>
    </w:p>
    <w:p>
      <w:pPr>
        <w:spacing w:after="0" w:line="179" w:lineRule="exact"/>
        <w:rPr>
          <w:sz w:val="20"/>
          <w:szCs w:val="20"/>
          <w:color w:val="auto"/>
        </w:rPr>
      </w:pPr>
    </w:p>
    <w:p>
      <w:pPr>
        <w:ind w:left="120" w:right="180"/>
        <w:spacing w:after="0" w:line="309" w:lineRule="auto"/>
        <w:rPr>
          <w:sz w:val="20"/>
          <w:szCs w:val="20"/>
          <w:color w:val="auto"/>
        </w:rPr>
      </w:pPr>
      <w:r>
        <w:rPr>
          <w:rFonts w:ascii="Arial" w:cs="Arial" w:eastAsia="Arial" w:hAnsi="Arial"/>
          <w:sz w:val="16"/>
          <w:szCs w:val="16"/>
          <w:i w:val="1"/>
          <w:iCs w:val="1"/>
          <w:color w:val="auto"/>
        </w:rPr>
        <w:t xml:space="preserve">Tax Limitations on ISOs. </w:t>
      </w:r>
      <w:r>
        <w:rPr>
          <w:rFonts w:ascii="Arial" w:cs="Arial" w:eastAsia="Arial" w:hAnsi="Arial"/>
          <w:sz w:val="16"/>
          <w:szCs w:val="16"/>
          <w:color w:val="auto"/>
        </w:rPr>
        <w:t>The aggregate fair market value, determined at the time of grant, of our Class A common stock with respect to ISOs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the first time by an optionholder during any calendar year under all of our stock plans may not exceed $100,000. Options or portions thereof that exceed such limit will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term of the ISO does not exceed five years from the date of grant.</w:t>
      </w:r>
    </w:p>
    <w:p>
      <w:pPr>
        <w:spacing w:after="0" w:line="179" w:lineRule="exact"/>
        <w:rPr>
          <w:sz w:val="20"/>
          <w:szCs w:val="20"/>
          <w:color w:val="auto"/>
        </w:rPr>
      </w:pPr>
    </w:p>
    <w:p>
      <w:pPr>
        <w:ind w:left="120" w:right="180"/>
        <w:spacing w:after="0" w:line="307"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81" w:lineRule="exact"/>
        <w:rPr>
          <w:sz w:val="20"/>
          <w:szCs w:val="20"/>
          <w:color w:val="auto"/>
        </w:rPr>
      </w:pPr>
    </w:p>
    <w:p>
      <w:pPr>
        <w:ind w:left="120" w:right="280"/>
        <w:spacing w:after="0" w:line="307"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granted pursuant to restricted stock award agreements adopted by the plan administrator.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 may be awarded in consideration for cash, check, bank draft or money order, past services to us or any other form of legal consideration (including future services) that may be acceptable to our Board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81"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are granted pursuant to stock appreciation grant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purchase price or strike price for a stock appreciation right, which generally cannot be less than 100% of the fair market value of our Class A common stock on the date of grant. A stock appreciation right granted under the Amended Plan vests at the rate specified in the stock appreciation right agreement as determined by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120" w:right="160"/>
        <w:spacing w:after="0" w:line="312"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Amended Plan permits the grant of performance awards that may be settled in stock, cash or other property.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77"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The performance goals may be based on any measure of performance 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when the performance award is granted, our Board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88" w:lineRule="exact"/>
        <w:rPr>
          <w:sz w:val="20"/>
          <w:szCs w:val="20"/>
          <w:color w:val="auto"/>
        </w:rPr>
      </w:pPr>
    </w:p>
    <w:p>
      <w:pPr>
        <w:ind w:left="120" w:right="80"/>
        <w:spacing w:after="0" w:line="339" w:lineRule="auto"/>
        <w:rPr>
          <w:sz w:val="20"/>
          <w:szCs w:val="20"/>
          <w:color w:val="auto"/>
        </w:rPr>
      </w:pPr>
      <w:r>
        <w:rPr>
          <w:rFonts w:ascii="Arial" w:cs="Arial" w:eastAsia="Arial" w:hAnsi="Arial"/>
          <w:sz w:val="16"/>
          <w:szCs w:val="16"/>
          <w:i w:val="1"/>
          <w:iCs w:val="1"/>
          <w:color w:val="auto"/>
        </w:rPr>
        <w:t xml:space="preserve">Other Stock Awards. </w:t>
      </w:r>
      <w:r>
        <w:rPr>
          <w:rFonts w:ascii="Arial" w:cs="Arial" w:eastAsia="Arial" w:hAnsi="Arial"/>
          <w:sz w:val="16"/>
          <w:szCs w:val="16"/>
          <w:color w:val="auto"/>
        </w:rPr>
        <w:t>The Amended Plan administrator may grant other awards based in whole or in part by reference to our Class A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Plan administrator will set the number of shares under the stock award and all other terms and conditions of such awards.</w:t>
      </w:r>
    </w:p>
    <w:p>
      <w:pPr>
        <w:spacing w:after="0" w:line="155" w:lineRule="exact"/>
        <w:rPr>
          <w:sz w:val="20"/>
          <w:szCs w:val="20"/>
          <w:color w:val="auto"/>
        </w:rPr>
      </w:pPr>
    </w:p>
    <w:p>
      <w:pPr>
        <w:ind w:left="120" w:right="180"/>
        <w:spacing w:after="0" w:line="299"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there is a specified type of change in our capital structure, such as a stock split, reverse stock split, or</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appropriate adjustments will be made to (1) the class and maximum number of shares reserved for issuance under the Amended Plan,</w:t>
      </w:r>
    </w:p>
    <w:p>
      <w:pPr>
        <w:spacing w:after="0" w:line="1" w:lineRule="exact"/>
        <w:rPr>
          <w:sz w:val="20"/>
          <w:szCs w:val="20"/>
          <w:color w:val="auto"/>
        </w:rPr>
      </w:pPr>
    </w:p>
    <w:p>
      <w:pPr>
        <w:ind w:left="120" w:right="200" w:hanging="4"/>
        <w:spacing w:after="0" w:line="319" w:lineRule="auto"/>
        <w:tabs>
          <w:tab w:leader="none" w:pos="363"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71"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The following applies to stock awards under the Amended Plan in the event of a corporate transaction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Plan and as summarized below), unless otherwise provided in a participant’s stock award agreement or other written agreement with us or one of our affiliates or unless otherwise expressly provided by the plan administrator at the time of grant.</w:t>
      </w:r>
    </w:p>
    <w:p>
      <w:pPr>
        <w:spacing w:after="0" w:line="171"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color w:val="auto"/>
        </w:rPr>
        <w:t>In the event of a corporate transaction, any stock awards outstanding under the Amended Plan may be assumed, continued or substituted for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hanging="741"/>
        <w:spacing w:after="0"/>
        <w:tabs>
          <w:tab w:leader="none" w:pos="108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120" w:right="60"/>
        <w:spacing w:after="0" w:line="305" w:lineRule="auto"/>
        <w:rPr>
          <w:sz w:val="20"/>
          <w:szCs w:val="20"/>
          <w:color w:val="auto"/>
        </w:rPr>
      </w:pPr>
      <w:r>
        <w:rPr>
          <w:rFonts w:ascii="Arial" w:cs="Arial" w:eastAsia="Arial" w:hAnsi="Arial"/>
          <w:sz w:val="16"/>
          <w:szCs w:val="16"/>
          <w:color w:val="auto"/>
        </w:rPr>
        <w:t>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Notwithstanding the foregoing, performance awards shall terminate without vesting or becoming exercisable unless (1) provided otherwise in the agreement evidencing such corporate transaction, (2) the Amended Plan administrator affirmatively provides otherwise prior to the closing of such corporate transaction or (3) as otherwise provided in the agreement evidencing such performance award.</w:t>
      </w:r>
    </w:p>
    <w:p>
      <w:pPr>
        <w:spacing w:after="0" w:line="181" w:lineRule="exact"/>
        <w:rPr>
          <w:sz w:val="20"/>
          <w:szCs w:val="20"/>
          <w:color w:val="auto"/>
        </w:rPr>
      </w:pPr>
    </w:p>
    <w:p>
      <w:pPr>
        <w:ind w:left="120" w:right="20"/>
        <w:spacing w:after="0" w:line="309" w:lineRule="auto"/>
        <w:rPr>
          <w:sz w:val="20"/>
          <w:szCs w:val="20"/>
          <w:color w:val="auto"/>
        </w:rPr>
      </w:pPr>
      <w:r>
        <w:rPr>
          <w:rFonts w:ascii="Arial" w:cs="Arial" w:eastAsia="Arial" w:hAnsi="Arial"/>
          <w:sz w:val="16"/>
          <w:szCs w:val="16"/>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Class A common stock.</w:t>
      </w:r>
    </w:p>
    <w:p>
      <w:pPr>
        <w:spacing w:after="0" w:line="179" w:lineRule="exact"/>
        <w:rPr>
          <w:sz w:val="20"/>
          <w:szCs w:val="20"/>
          <w:color w:val="auto"/>
        </w:rPr>
      </w:pPr>
    </w:p>
    <w:p>
      <w:pPr>
        <w:ind w:left="120" w:right="120"/>
        <w:spacing w:after="0" w:line="312" w:lineRule="auto"/>
        <w:rPr>
          <w:sz w:val="20"/>
          <w:szCs w:val="20"/>
          <w:color w:val="auto"/>
        </w:rPr>
      </w:pPr>
      <w:r>
        <w:rPr>
          <w:rFonts w:ascii="Arial" w:cs="Arial" w:eastAsia="Arial" w:hAnsi="Arial"/>
          <w:sz w:val="16"/>
          <w:szCs w:val="16"/>
          <w:color w:val="auto"/>
        </w:rPr>
        <w:t>Under the Amended Plan, a corporate transaction is generally defined as the consummation of: (1) a sale of all or substantially all of our assets, (2) the sale or disposition of at least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77" w:lineRule="exact"/>
        <w:rPr>
          <w:sz w:val="20"/>
          <w:szCs w:val="20"/>
          <w:color w:val="auto"/>
        </w:rPr>
      </w:pPr>
    </w:p>
    <w:p>
      <w:pPr>
        <w:ind w:left="120" w:right="20"/>
        <w:spacing w:after="0" w:line="319"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Awards granted under the Amended Plan may be subject to acceleration of vesting and exercisability upon or after a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as may be provided in the applicable stock award agreement or in any other written agreement between us or any affiliate and the participant, but in the absence of such provision, no such acceleration will automatically occur.</w:t>
      </w:r>
    </w:p>
    <w:p>
      <w:pPr>
        <w:spacing w:after="0" w:line="171" w:lineRule="exact"/>
        <w:rPr>
          <w:sz w:val="20"/>
          <w:szCs w:val="20"/>
          <w:color w:val="auto"/>
        </w:rPr>
      </w:pPr>
    </w:p>
    <w:p>
      <w:pPr>
        <w:ind w:left="120" w:right="100"/>
        <w:spacing w:after="0" w:line="299" w:lineRule="auto"/>
        <w:rPr>
          <w:sz w:val="20"/>
          <w:szCs w:val="20"/>
          <w:color w:val="auto"/>
        </w:rPr>
      </w:pPr>
      <w:r>
        <w:rPr>
          <w:rFonts w:ascii="Arial" w:cs="Arial" w:eastAsia="Arial" w:hAnsi="Arial"/>
          <w:sz w:val="16"/>
          <w:szCs w:val="16"/>
          <w:color w:val="auto"/>
        </w:rPr>
        <w:t>Under the Amended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w:t>
      </w:r>
    </w:p>
    <w:p>
      <w:pPr>
        <w:spacing w:after="0" w:line="2" w:lineRule="exact"/>
        <w:rPr>
          <w:sz w:val="20"/>
          <w:szCs w:val="20"/>
          <w:color w:val="auto"/>
        </w:rPr>
      </w:pPr>
    </w:p>
    <w:p>
      <w:pPr>
        <w:jc w:val="both"/>
        <w:ind w:left="120" w:right="220" w:hanging="4"/>
        <w:spacing w:after="0" w:line="339" w:lineRule="auto"/>
        <w:tabs>
          <w:tab w:leader="none" w:pos="3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when a majority of our Board becomes comprised of individuals who were not serving on our Board on the date the Amended Plan was adopted by the Board, or the incumbent board, or whose nomination, appointment, or election was not approved by a majority of the incumbent Board still in office.</w:t>
      </w:r>
    </w:p>
    <w:p>
      <w:pPr>
        <w:spacing w:after="0" w:line="155" w:lineRule="exact"/>
        <w:rPr>
          <w:sz w:val="20"/>
          <w:szCs w:val="20"/>
          <w:color w:val="auto"/>
        </w:rPr>
      </w:pPr>
    </w:p>
    <w:p>
      <w:pPr>
        <w:ind w:left="120" w:right="180"/>
        <w:spacing w:after="0" w:line="339"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 participant generally may not transfer stock awards under the Amended Plan other than by will, the laws of descent and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otherwise provided under the Amended Plan.</w:t>
      </w:r>
    </w:p>
    <w:p>
      <w:pPr>
        <w:spacing w:after="0" w:line="155"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has the authority to amend, suspend, or terminate the Amended Plan, provided that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existing rights of any participant without such participant’s written consent. Certain material amendments also require the approval of our stockholders. No ISOs may be granted after the tenth anniversary of the date our Board adopted the Amended Plan. No stock awards may be granted under the Amended Plan while it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47</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New Plan Benefits</w:t>
      </w:r>
    </w:p>
    <w:p>
      <w:pPr>
        <w:spacing w:after="0" w:line="249" w:lineRule="exact"/>
        <w:rPr>
          <w:sz w:val="20"/>
          <w:szCs w:val="20"/>
          <w:color w:val="auto"/>
        </w:rPr>
      </w:pPr>
    </w:p>
    <w:p>
      <w:pPr>
        <w:ind w:left="120" w:right="40"/>
        <w:spacing w:after="0" w:line="309" w:lineRule="auto"/>
        <w:rPr>
          <w:sz w:val="20"/>
          <w:szCs w:val="20"/>
          <w:color w:val="auto"/>
        </w:rPr>
      </w:pPr>
      <w:r>
        <w:rPr>
          <w:rFonts w:ascii="Arial" w:cs="Arial" w:eastAsia="Arial" w:hAnsi="Arial"/>
          <w:sz w:val="16"/>
          <w:szCs w:val="16"/>
          <w:color w:val="auto"/>
        </w:rPr>
        <w:t>Following the approval of the Amended Plan, on the date of the Annual Meeting, each of the Company’s non-employee directors who has completed at least three months of continuous service and who will remain a director following the Annual Meeting will receive a grant of restricted stock units valued at $150,000. However, other than with respect to these director grants, it is not possible to determine the specific amounts and types of awards that may be awarded in the future under the Amended Plan because the grant and actual pay-out of awards under the Amended Plan are subject to the discretion of the plan administrator.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9920" w:type="dxa"/>
            <w:vAlign w:val="bottom"/>
            <w:tcBorders>
              <w:top w:val="single" w:sz="8" w:color="60BAFF"/>
              <w:right w:val="single" w:sz="8" w:color="B2B2B2"/>
            </w:tcBorders>
          </w:tcPr>
          <w:p>
            <w:pPr>
              <w:spacing w:after="0"/>
              <w:rPr>
                <w:sz w:val="19"/>
                <w:szCs w:val="19"/>
                <w:color w:val="auto"/>
              </w:rPr>
            </w:pPr>
          </w:p>
        </w:tc>
        <w:tc>
          <w:tcPr>
            <w:tcW w:w="1100" w:type="dxa"/>
            <w:vAlign w:val="bottom"/>
            <w:tcBorders>
              <w:top w:val="single" w:sz="8" w:color="60BAFF"/>
            </w:tcBorders>
          </w:tcPr>
          <w:p>
            <w:pPr>
              <w:jc w:val="right"/>
              <w:ind w:right="281"/>
              <w:spacing w:after="0"/>
              <w:rPr>
                <w:sz w:val="20"/>
                <w:szCs w:val="20"/>
                <w:color w:val="auto"/>
              </w:rPr>
            </w:pPr>
            <w:r>
              <w:rPr>
                <w:rFonts w:ascii="Arial" w:cs="Arial" w:eastAsia="Arial" w:hAnsi="Arial"/>
                <w:sz w:val="14"/>
                <w:szCs w:val="14"/>
                <w:b w:val="1"/>
                <w:bCs w:val="1"/>
                <w:color w:val="60BAFF"/>
              </w:rPr>
              <w:t>Dollar</w:t>
            </w:r>
          </w:p>
        </w:tc>
      </w:tr>
      <w:tr>
        <w:trPr>
          <w:trHeight w:val="196"/>
        </w:trPr>
        <w:tc>
          <w:tcPr>
            <w:tcW w:w="992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 and Position</w:t>
            </w:r>
          </w:p>
        </w:tc>
        <w:tc>
          <w:tcPr>
            <w:tcW w:w="1100" w:type="dxa"/>
            <w:vAlign w:val="bottom"/>
          </w:tcPr>
          <w:p>
            <w:pPr>
              <w:jc w:val="right"/>
              <w:ind w:right="181"/>
              <w:spacing w:after="0"/>
              <w:rPr>
                <w:sz w:val="20"/>
                <w:szCs w:val="20"/>
                <w:color w:val="auto"/>
              </w:rPr>
            </w:pPr>
            <w:r>
              <w:rPr>
                <w:rFonts w:ascii="Arial" w:cs="Arial" w:eastAsia="Arial" w:hAnsi="Arial"/>
                <w:sz w:val="14"/>
                <w:szCs w:val="14"/>
                <w:b w:val="1"/>
                <w:bCs w:val="1"/>
                <w:color w:val="60BAFF"/>
              </w:rPr>
              <w:t>Value ($)</w:t>
            </w:r>
          </w:p>
        </w:tc>
      </w:tr>
      <w:tr>
        <w:trPr>
          <w:trHeight w:val="43"/>
        </w:trPr>
        <w:tc>
          <w:tcPr>
            <w:tcW w:w="9920" w:type="dxa"/>
            <w:vAlign w:val="bottom"/>
            <w:tcBorders>
              <w:bottom w:val="single" w:sz="8" w:color="60BAFF"/>
              <w:right w:val="single" w:sz="8" w:color="B2B2B2"/>
            </w:tcBorders>
          </w:tcPr>
          <w:p>
            <w:pPr>
              <w:spacing w:after="0"/>
              <w:rPr>
                <w:sz w:val="3"/>
                <w:szCs w:val="3"/>
                <w:color w:val="auto"/>
              </w:rPr>
            </w:pPr>
          </w:p>
        </w:tc>
        <w:tc>
          <w:tcPr>
            <w:tcW w:w="1100" w:type="dxa"/>
            <w:vAlign w:val="bottom"/>
            <w:tcBorders>
              <w:bottom w:val="single" w:sz="8" w:color="60BAFF"/>
            </w:tcBorders>
          </w:tcPr>
          <w:p>
            <w:pPr>
              <w:spacing w:after="0"/>
              <w:rPr>
                <w:sz w:val="3"/>
                <w:szCs w:val="3"/>
                <w:color w:val="auto"/>
              </w:rPr>
            </w:pPr>
          </w:p>
        </w:tc>
      </w:tr>
      <w:tr>
        <w:trPr>
          <w:trHeight w:val="256"/>
        </w:trPr>
        <w:tc>
          <w:tcPr>
            <w:tcW w:w="992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Named Executive Officers</w:t>
            </w:r>
          </w:p>
        </w:tc>
        <w:tc>
          <w:tcPr>
            <w:tcW w:w="1100" w:type="dxa"/>
            <w:vAlign w:val="bottom"/>
          </w:tcPr>
          <w:p>
            <w:pPr>
              <w:spacing w:after="0"/>
              <w:rPr>
                <w:sz w:val="22"/>
                <w:szCs w:val="22"/>
                <w:color w:val="auto"/>
              </w:rPr>
            </w:pPr>
          </w:p>
        </w:tc>
      </w:tr>
      <w:tr>
        <w:trPr>
          <w:trHeight w:val="316"/>
        </w:trPr>
        <w:tc>
          <w:tcPr>
            <w:tcW w:w="992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Tim Chen (Chief Executive Officer and Chairman of the Board)</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N/A</w:t>
            </w:r>
          </w:p>
        </w:tc>
      </w:tr>
      <w:tr>
        <w:trPr>
          <w:trHeight w:val="56"/>
        </w:trPr>
        <w:tc>
          <w:tcPr>
            <w:tcW w:w="9920" w:type="dxa"/>
            <w:vAlign w:val="bottom"/>
            <w:tcBorders>
              <w:right w:val="single" w:sz="8" w:color="B2B2B2"/>
            </w:tcBorders>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9920" w:type="dxa"/>
            <w:vAlign w:val="bottom"/>
            <w:tcBorders>
              <w:bottom w:val="single" w:sz="8" w:color="F2FFFF"/>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John Caine (Chief Product Officer)</w:t>
            </w:r>
          </w:p>
        </w:tc>
        <w:tc>
          <w:tcPr>
            <w:tcW w:w="1100" w:type="dxa"/>
            <w:vAlign w:val="bottom"/>
            <w:tcBorders>
              <w:bottom w:val="single" w:sz="8" w:color="F2FFFF"/>
            </w:tcBorders>
            <w:shd w:val="clear" w:color="auto" w:fill="F2FFFF"/>
          </w:tcPr>
          <w:p>
            <w:pPr>
              <w:jc w:val="right"/>
              <w:ind w:right="41"/>
              <w:spacing w:after="0"/>
              <w:rPr>
                <w:sz w:val="20"/>
                <w:szCs w:val="20"/>
                <w:color w:val="auto"/>
              </w:rPr>
            </w:pPr>
            <w:r>
              <w:rPr>
                <w:rFonts w:ascii="Arial" w:cs="Arial" w:eastAsia="Arial" w:hAnsi="Arial"/>
                <w:sz w:val="16"/>
                <w:szCs w:val="16"/>
                <w:color w:val="auto"/>
              </w:rPr>
              <w:t>N/A</w:t>
            </w:r>
          </w:p>
        </w:tc>
      </w:tr>
      <w:tr>
        <w:trPr>
          <w:trHeight w:val="268"/>
        </w:trPr>
        <w:tc>
          <w:tcPr>
            <w:tcW w:w="992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Kelly Gillease (Chief Marketing Officer)</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N/A</w:t>
            </w:r>
          </w:p>
        </w:tc>
      </w:tr>
      <w:tr>
        <w:trPr>
          <w:trHeight w:val="56"/>
        </w:trPr>
        <w:tc>
          <w:tcPr>
            <w:tcW w:w="9920" w:type="dxa"/>
            <w:vAlign w:val="bottom"/>
            <w:tcBorders>
              <w:right w:val="single" w:sz="8" w:color="B2B2B2"/>
            </w:tcBorders>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992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color w:val="auto"/>
              </w:rPr>
              <w:t>Executive Group</w:t>
            </w:r>
          </w:p>
        </w:tc>
        <w:tc>
          <w:tcPr>
            <w:tcW w:w="1100" w:type="dxa"/>
            <w:vAlign w:val="bottom"/>
            <w:tcBorders>
              <w:bottom w:val="single" w:sz="8" w:color="F2FFFF"/>
            </w:tcBorders>
            <w:shd w:val="clear" w:color="auto" w:fill="F2FFFF"/>
          </w:tcPr>
          <w:p>
            <w:pPr>
              <w:jc w:val="right"/>
              <w:ind w:right="41"/>
              <w:spacing w:after="0"/>
              <w:rPr>
                <w:sz w:val="20"/>
                <w:szCs w:val="20"/>
                <w:color w:val="auto"/>
              </w:rPr>
            </w:pPr>
            <w:r>
              <w:rPr>
                <w:rFonts w:ascii="Arial" w:cs="Arial" w:eastAsia="Arial" w:hAnsi="Arial"/>
                <w:sz w:val="16"/>
                <w:szCs w:val="16"/>
                <w:color w:val="auto"/>
              </w:rPr>
              <w:t>N/A</w:t>
            </w:r>
          </w:p>
        </w:tc>
      </w:tr>
      <w:tr>
        <w:trPr>
          <w:trHeight w:val="268"/>
        </w:trPr>
        <w:tc>
          <w:tcPr>
            <w:tcW w:w="992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Non-Executive Director Group</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   450,000</w:t>
            </w:r>
          </w:p>
        </w:tc>
      </w:tr>
      <w:tr>
        <w:trPr>
          <w:trHeight w:val="56"/>
        </w:trPr>
        <w:tc>
          <w:tcPr>
            <w:tcW w:w="9920" w:type="dxa"/>
            <w:vAlign w:val="bottom"/>
            <w:tcBorders>
              <w:right w:val="single" w:sz="8" w:color="B2B2B2"/>
            </w:tcBorders>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992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color w:val="auto"/>
              </w:rPr>
              <w:t>Non-Executive Officer Employee Group</w:t>
            </w:r>
          </w:p>
        </w:tc>
        <w:tc>
          <w:tcPr>
            <w:tcW w:w="1100" w:type="dxa"/>
            <w:vAlign w:val="bottom"/>
            <w:tcBorders>
              <w:bottom w:val="single" w:sz="8" w:color="F2FFFF"/>
            </w:tcBorders>
            <w:shd w:val="clear" w:color="auto" w:fill="F2FFFF"/>
          </w:tcPr>
          <w:p>
            <w:pPr>
              <w:jc w:val="right"/>
              <w:ind w:right="41"/>
              <w:spacing w:after="0"/>
              <w:rPr>
                <w:sz w:val="20"/>
                <w:szCs w:val="20"/>
                <w:color w:val="auto"/>
              </w:rPr>
            </w:pPr>
            <w:r>
              <w:rPr>
                <w:rFonts w:ascii="Arial" w:cs="Arial" w:eastAsia="Arial" w:hAnsi="Arial"/>
                <w:sz w:val="16"/>
                <w:szCs w:val="16"/>
                <w:color w:val="auto"/>
              </w:rPr>
              <w:t>N/A</w:t>
            </w:r>
          </w:p>
        </w:tc>
      </w:tr>
      <w:tr>
        <w:trPr>
          <w:trHeight w:val="20"/>
        </w:trPr>
        <w:tc>
          <w:tcPr>
            <w:tcW w:w="9920" w:type="dxa"/>
            <w:vAlign w:val="bottom"/>
            <w:tcBorders>
              <w:right w:val="single" w:sz="8" w:color="B2B2B2"/>
            </w:tcBorders>
            <w:shd w:val="clear" w:color="auto" w:fill="B2B2B2"/>
          </w:tcPr>
          <w:p>
            <w:pPr>
              <w:spacing w:after="0" w:line="20" w:lineRule="exact"/>
              <w:rPr>
                <w:sz w:val="1"/>
                <w:szCs w:val="1"/>
                <w:color w:val="auto"/>
              </w:rPr>
            </w:pPr>
          </w:p>
        </w:tc>
        <w:tc>
          <w:tcPr>
            <w:tcW w:w="1100" w:type="dxa"/>
            <w:vAlign w:val="bottom"/>
            <w:shd w:val="clear" w:color="auto" w:fill="B2B2B2"/>
          </w:tcPr>
          <w:p>
            <w:pPr>
              <w:spacing w:after="0" w:line="20" w:lineRule="exact"/>
              <w:rPr>
                <w:sz w:val="1"/>
                <w:szCs w:val="1"/>
                <w:color w:val="auto"/>
              </w:rPr>
            </w:pP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Historical Grant Information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its inception, the following aggregate amount of option and RSU grants have been made under the Amended Plan:</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9040" w:type="dxa"/>
            <w:vAlign w:val="bottom"/>
            <w:tcBorders>
              <w:top w:val="single" w:sz="8" w:color="60BAFF"/>
              <w:right w:val="single" w:sz="8" w:color="B2B2B2"/>
            </w:tcBorders>
          </w:tcPr>
          <w:p>
            <w:pPr>
              <w:spacing w:after="0"/>
              <w:rPr>
                <w:sz w:val="19"/>
                <w:szCs w:val="19"/>
                <w:color w:val="auto"/>
              </w:rPr>
            </w:pPr>
          </w:p>
        </w:tc>
        <w:tc>
          <w:tcPr>
            <w:tcW w:w="1000" w:type="dxa"/>
            <w:vAlign w:val="bottom"/>
            <w:tcBorders>
              <w:top w:val="single" w:sz="8" w:color="60BAFF"/>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Number of</w:t>
            </w:r>
          </w:p>
        </w:tc>
        <w:tc>
          <w:tcPr>
            <w:tcW w:w="980" w:type="dxa"/>
            <w:vAlign w:val="bottom"/>
            <w:tcBorders>
              <w:top w:val="single" w:sz="8" w:color="60BAFF"/>
            </w:tcBorders>
          </w:tcPr>
          <w:p>
            <w:pPr>
              <w:spacing w:after="0"/>
              <w:rPr>
                <w:sz w:val="19"/>
                <w:szCs w:val="19"/>
                <w:color w:val="auto"/>
              </w:rPr>
            </w:pPr>
          </w:p>
        </w:tc>
      </w:tr>
      <w:tr>
        <w:trPr>
          <w:trHeight w:val="162"/>
        </w:trPr>
        <w:tc>
          <w:tcPr>
            <w:tcW w:w="9040" w:type="dxa"/>
            <w:vAlign w:val="bottom"/>
            <w:tcBorders>
              <w:right w:val="single" w:sz="8" w:color="B2B2B2"/>
            </w:tcBorders>
          </w:tcPr>
          <w:p>
            <w:pPr>
              <w:spacing w:after="0"/>
              <w:rPr>
                <w:sz w:val="14"/>
                <w:szCs w:val="14"/>
                <w:color w:val="auto"/>
              </w:rPr>
            </w:pPr>
          </w:p>
        </w:tc>
        <w:tc>
          <w:tcPr>
            <w:tcW w:w="10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Option</w:t>
            </w: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60BAFF"/>
              </w:rPr>
              <w:t>Number of</w:t>
            </w:r>
          </w:p>
        </w:tc>
      </w:tr>
      <w:tr>
        <w:trPr>
          <w:trHeight w:val="196"/>
        </w:trPr>
        <w:tc>
          <w:tcPr>
            <w:tcW w:w="9040" w:type="dxa"/>
            <w:vAlign w:val="bottom"/>
            <w:tcBorders>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Name and Position</w:t>
            </w:r>
          </w:p>
        </w:tc>
        <w:tc>
          <w:tcPr>
            <w:tcW w:w="100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Shares (#)</w:t>
            </w: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60BAFF"/>
              </w:rPr>
              <w:t>RSUs (#)</w:t>
            </w:r>
          </w:p>
        </w:tc>
      </w:tr>
      <w:tr>
        <w:trPr>
          <w:trHeight w:val="43"/>
        </w:trPr>
        <w:tc>
          <w:tcPr>
            <w:tcW w:w="9040" w:type="dxa"/>
            <w:vAlign w:val="bottom"/>
            <w:tcBorders>
              <w:bottom w:val="single" w:sz="8" w:color="60BAFF"/>
              <w:right w:val="single" w:sz="8" w:color="B2B2B2"/>
            </w:tcBorders>
          </w:tcPr>
          <w:p>
            <w:pPr>
              <w:spacing w:after="0"/>
              <w:rPr>
                <w:sz w:val="3"/>
                <w:szCs w:val="3"/>
                <w:color w:val="auto"/>
              </w:rPr>
            </w:pPr>
          </w:p>
        </w:tc>
        <w:tc>
          <w:tcPr>
            <w:tcW w:w="1000" w:type="dxa"/>
            <w:vAlign w:val="bottom"/>
            <w:tcBorders>
              <w:bottom w:val="single" w:sz="8" w:color="60BAFF"/>
              <w:right w:val="single" w:sz="8" w:color="B2B2B2"/>
            </w:tcBorders>
          </w:tcPr>
          <w:p>
            <w:pPr>
              <w:spacing w:after="0"/>
              <w:rPr>
                <w:sz w:val="3"/>
                <w:szCs w:val="3"/>
                <w:color w:val="auto"/>
              </w:rPr>
            </w:pPr>
          </w:p>
        </w:tc>
        <w:tc>
          <w:tcPr>
            <w:tcW w:w="980" w:type="dxa"/>
            <w:vAlign w:val="bottom"/>
            <w:tcBorders>
              <w:bottom w:val="single" w:sz="8" w:color="60BAFF"/>
            </w:tcBorders>
          </w:tcPr>
          <w:p>
            <w:pPr>
              <w:spacing w:after="0"/>
              <w:rPr>
                <w:sz w:val="3"/>
                <w:szCs w:val="3"/>
                <w:color w:val="auto"/>
              </w:rPr>
            </w:pPr>
          </w:p>
        </w:tc>
      </w:tr>
      <w:tr>
        <w:trPr>
          <w:trHeight w:val="168"/>
        </w:trPr>
        <w:tc>
          <w:tcPr>
            <w:tcW w:w="9040" w:type="dxa"/>
            <w:vAlign w:val="bottom"/>
            <w:tcBorders>
              <w:right w:val="single" w:sz="8" w:color="B2B2B2"/>
            </w:tcBorders>
          </w:tcPr>
          <w:p>
            <w:pPr>
              <w:ind w:left="60"/>
              <w:spacing w:after="0" w:line="168" w:lineRule="exact"/>
              <w:rPr>
                <w:sz w:val="20"/>
                <w:szCs w:val="20"/>
                <w:color w:val="auto"/>
              </w:rPr>
            </w:pPr>
            <w:r>
              <w:rPr>
                <w:rFonts w:ascii="Arial" w:cs="Arial" w:eastAsia="Arial" w:hAnsi="Arial"/>
                <w:sz w:val="16"/>
                <w:szCs w:val="16"/>
                <w:b w:val="1"/>
                <w:bCs w:val="1"/>
                <w:color w:val="auto"/>
              </w:rPr>
              <w:t>Named Executive Officers</w:t>
            </w:r>
          </w:p>
        </w:tc>
        <w:tc>
          <w:tcPr>
            <w:tcW w:w="1000" w:type="dxa"/>
            <w:vAlign w:val="bottom"/>
            <w:tcBorders>
              <w:right w:val="single" w:sz="8" w:color="B2B2B2"/>
            </w:tcBorders>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90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Tim Chen (Chief Executive Officer and Chairman of the Board)</w:t>
            </w:r>
          </w:p>
        </w:tc>
        <w:tc>
          <w:tcPr>
            <w:tcW w:w="1000" w:type="dxa"/>
            <w:vAlign w:val="bottom"/>
            <w:tcBorders>
              <w:right w:val="single" w:sz="8" w:color="B2B2B2"/>
            </w:tcBorders>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189"/>
        </w:trPr>
        <w:tc>
          <w:tcPr>
            <w:tcW w:w="9040" w:type="dxa"/>
            <w:vAlign w:val="bottom"/>
            <w:tcBorders>
              <w:right w:val="single" w:sz="8" w:color="B2B2B2"/>
            </w:tcBorders>
            <w:shd w:val="clear" w:color="auto" w:fill="F2FFFF"/>
          </w:tcPr>
          <w:p>
            <w:pPr>
              <w:ind w:left="280"/>
              <w:spacing w:after="0"/>
              <w:rPr>
                <w:sz w:val="20"/>
                <w:szCs w:val="20"/>
                <w:color w:val="auto"/>
              </w:rPr>
            </w:pPr>
            <w:r>
              <w:rPr>
                <w:rFonts w:ascii="Arial" w:cs="Arial" w:eastAsia="Arial" w:hAnsi="Arial"/>
                <w:sz w:val="16"/>
                <w:szCs w:val="16"/>
                <w:color w:val="auto"/>
              </w:rPr>
              <w:t>John Caine (Chief Product Officer)</w:t>
            </w:r>
          </w:p>
        </w:tc>
        <w:tc>
          <w:tcPr>
            <w:tcW w:w="1000" w:type="dxa"/>
            <w:vAlign w:val="bottom"/>
            <w:tcBorders>
              <w:right w:val="single" w:sz="8" w:color="B2B2B2"/>
            </w:tcBorders>
            <w:shd w:val="clear" w:color="auto" w:fill="F2FFFF"/>
          </w:tcPr>
          <w:p>
            <w:pPr>
              <w:jc w:val="right"/>
              <w:ind w:right="62"/>
              <w:spacing w:after="0"/>
              <w:rPr>
                <w:sz w:val="20"/>
                <w:szCs w:val="20"/>
                <w:color w:val="auto"/>
              </w:rPr>
            </w:pPr>
            <w:r>
              <w:rPr>
                <w:rFonts w:ascii="Arial" w:cs="Arial" w:eastAsia="Arial" w:hAnsi="Arial"/>
                <w:sz w:val="16"/>
                <w:szCs w:val="16"/>
                <w:color w:val="auto"/>
              </w:rPr>
              <w:t>274,014</w:t>
            </w:r>
          </w:p>
        </w:tc>
        <w:tc>
          <w:tcPr>
            <w:tcW w:w="980" w:type="dxa"/>
            <w:vAlign w:val="bottom"/>
            <w:shd w:val="clear" w:color="auto" w:fill="F2FFFF"/>
          </w:tcPr>
          <w:p>
            <w:pPr>
              <w:jc w:val="right"/>
              <w:ind w:right="41"/>
              <w:spacing w:after="0"/>
              <w:rPr>
                <w:sz w:val="20"/>
                <w:szCs w:val="20"/>
                <w:color w:val="auto"/>
              </w:rPr>
            </w:pPr>
            <w:r>
              <w:rPr>
                <w:rFonts w:ascii="Arial" w:cs="Arial" w:eastAsia="Arial" w:hAnsi="Arial"/>
                <w:sz w:val="16"/>
                <w:szCs w:val="16"/>
                <w:color w:val="auto"/>
              </w:rPr>
              <w:t>165,962</w:t>
            </w:r>
          </w:p>
        </w:tc>
      </w:tr>
      <w:tr>
        <w:trPr>
          <w:trHeight w:val="189"/>
        </w:trPr>
        <w:tc>
          <w:tcPr>
            <w:tcW w:w="9040" w:type="dxa"/>
            <w:vAlign w:val="bottom"/>
            <w:tcBorders>
              <w:right w:val="single" w:sz="8" w:color="B2B2B2"/>
            </w:tcBorders>
          </w:tcPr>
          <w:p>
            <w:pPr>
              <w:ind w:left="280"/>
              <w:spacing w:after="0"/>
              <w:rPr>
                <w:sz w:val="20"/>
                <w:szCs w:val="20"/>
                <w:color w:val="auto"/>
              </w:rPr>
            </w:pPr>
            <w:r>
              <w:rPr>
                <w:rFonts w:ascii="Arial" w:cs="Arial" w:eastAsia="Arial" w:hAnsi="Arial"/>
                <w:sz w:val="16"/>
                <w:szCs w:val="16"/>
                <w:color w:val="auto"/>
              </w:rPr>
              <w:t>Kelly Gillease (Chief Marketing Officer)</w:t>
            </w:r>
          </w:p>
        </w:tc>
        <w:tc>
          <w:tcPr>
            <w:tcW w:w="1000" w:type="dxa"/>
            <w:vAlign w:val="bottom"/>
            <w:tcBorders>
              <w:right w:val="single" w:sz="8" w:color="B2B2B2"/>
            </w:tcBorders>
          </w:tcPr>
          <w:p>
            <w:pPr>
              <w:jc w:val="right"/>
              <w:ind w:right="62"/>
              <w:spacing w:after="0"/>
              <w:rPr>
                <w:sz w:val="20"/>
                <w:szCs w:val="20"/>
                <w:color w:val="auto"/>
              </w:rPr>
            </w:pPr>
            <w:r>
              <w:rPr>
                <w:rFonts w:ascii="Arial" w:cs="Arial" w:eastAsia="Arial" w:hAnsi="Arial"/>
                <w:sz w:val="16"/>
                <w:szCs w:val="16"/>
                <w:color w:val="auto"/>
              </w:rPr>
              <w:t>108,447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43,378</w:t>
            </w:r>
          </w:p>
        </w:tc>
      </w:tr>
      <w:tr>
        <w:trPr>
          <w:trHeight w:val="189"/>
        </w:trPr>
        <w:tc>
          <w:tcPr>
            <w:tcW w:w="9040" w:type="dxa"/>
            <w:vAlign w:val="bottom"/>
            <w:tcBorders>
              <w:right w:val="single" w:sz="8" w:color="B2B2B2"/>
            </w:tcBorders>
            <w:shd w:val="clear" w:color="auto" w:fill="F2FFFF"/>
          </w:tcPr>
          <w:p>
            <w:pPr>
              <w:ind w:left="60"/>
              <w:spacing w:after="0"/>
              <w:rPr>
                <w:sz w:val="20"/>
                <w:szCs w:val="20"/>
                <w:color w:val="auto"/>
              </w:rPr>
            </w:pPr>
            <w:r>
              <w:rPr>
                <w:rFonts w:ascii="Arial" w:cs="Arial" w:eastAsia="Arial" w:hAnsi="Arial"/>
                <w:sz w:val="16"/>
                <w:szCs w:val="16"/>
                <w:color w:val="auto"/>
              </w:rPr>
              <w:t>Executive Group</w:t>
            </w:r>
          </w:p>
        </w:tc>
        <w:tc>
          <w:tcPr>
            <w:tcW w:w="1000" w:type="dxa"/>
            <w:vAlign w:val="bottom"/>
            <w:tcBorders>
              <w:right w:val="single" w:sz="8" w:color="B2B2B2"/>
            </w:tcBorders>
            <w:shd w:val="clear" w:color="auto" w:fill="F2FFFF"/>
          </w:tcPr>
          <w:p>
            <w:pPr>
              <w:jc w:val="right"/>
              <w:ind w:right="62"/>
              <w:spacing w:after="0"/>
              <w:rPr>
                <w:sz w:val="20"/>
                <w:szCs w:val="20"/>
                <w:color w:val="auto"/>
              </w:rPr>
            </w:pPr>
            <w:r>
              <w:rPr>
                <w:rFonts w:ascii="Arial" w:cs="Arial" w:eastAsia="Arial" w:hAnsi="Arial"/>
                <w:sz w:val="16"/>
                <w:szCs w:val="16"/>
                <w:color w:val="auto"/>
              </w:rPr>
              <w:t>682,118</w:t>
            </w:r>
          </w:p>
        </w:tc>
        <w:tc>
          <w:tcPr>
            <w:tcW w:w="980" w:type="dxa"/>
            <w:vAlign w:val="bottom"/>
            <w:shd w:val="clear" w:color="auto" w:fill="F2FFFF"/>
          </w:tcPr>
          <w:p>
            <w:pPr>
              <w:jc w:val="right"/>
              <w:ind w:right="41"/>
              <w:spacing w:after="0"/>
              <w:rPr>
                <w:sz w:val="20"/>
                <w:szCs w:val="20"/>
                <w:color w:val="auto"/>
              </w:rPr>
            </w:pPr>
            <w:r>
              <w:rPr>
                <w:rFonts w:ascii="Arial" w:cs="Arial" w:eastAsia="Arial" w:hAnsi="Arial"/>
                <w:sz w:val="16"/>
                <w:szCs w:val="16"/>
                <w:color w:val="auto"/>
              </w:rPr>
              <w:t>329,202</w:t>
            </w:r>
          </w:p>
        </w:tc>
      </w:tr>
      <w:tr>
        <w:trPr>
          <w:trHeight w:val="189"/>
        </w:trPr>
        <w:tc>
          <w:tcPr>
            <w:tcW w:w="9040" w:type="dxa"/>
            <w:vAlign w:val="bottom"/>
            <w:tcBorders>
              <w:right w:val="single" w:sz="8" w:color="B2B2B2"/>
            </w:tcBorders>
          </w:tcPr>
          <w:p>
            <w:pPr>
              <w:ind w:left="60"/>
              <w:spacing w:after="0"/>
              <w:rPr>
                <w:sz w:val="20"/>
                <w:szCs w:val="20"/>
                <w:color w:val="auto"/>
              </w:rPr>
            </w:pPr>
            <w:r>
              <w:rPr>
                <w:rFonts w:ascii="Arial" w:cs="Arial" w:eastAsia="Arial" w:hAnsi="Arial"/>
                <w:sz w:val="16"/>
                <w:szCs w:val="16"/>
                <w:color w:val="auto"/>
              </w:rPr>
              <w:t>Non-Executive Director Group</w:t>
            </w:r>
          </w:p>
        </w:tc>
        <w:tc>
          <w:tcPr>
            <w:tcW w:w="1000" w:type="dxa"/>
            <w:vAlign w:val="bottom"/>
            <w:tcBorders>
              <w:right w:val="single" w:sz="8" w:color="B2B2B2"/>
            </w:tcBorders>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26,714</w:t>
            </w:r>
          </w:p>
        </w:tc>
      </w:tr>
      <w:tr>
        <w:trPr>
          <w:trHeight w:val="304"/>
        </w:trPr>
        <w:tc>
          <w:tcPr>
            <w:tcW w:w="904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color w:val="auto"/>
              </w:rPr>
              <w:t>Non-Executive Officer Employee Group</w:t>
            </w:r>
          </w:p>
        </w:tc>
        <w:tc>
          <w:tcPr>
            <w:tcW w:w="1000" w:type="dxa"/>
            <w:vAlign w:val="bottom"/>
            <w:tcBorders>
              <w:bottom w:val="single" w:sz="8" w:color="F2FFFF"/>
              <w:right w:val="single" w:sz="8" w:color="B2B2B2"/>
            </w:tcBorders>
            <w:shd w:val="clear" w:color="auto" w:fill="F2FFFF"/>
          </w:tcPr>
          <w:p>
            <w:pPr>
              <w:jc w:val="right"/>
              <w:ind w:right="62"/>
              <w:spacing w:after="0"/>
              <w:rPr>
                <w:sz w:val="20"/>
                <w:szCs w:val="20"/>
                <w:color w:val="auto"/>
              </w:rPr>
            </w:pPr>
            <w:r>
              <w:rPr>
                <w:rFonts w:ascii="Arial" w:cs="Arial" w:eastAsia="Arial" w:hAnsi="Arial"/>
                <w:sz w:val="16"/>
                <w:szCs w:val="16"/>
                <w:color w:val="auto"/>
              </w:rPr>
              <w:t>316,780</w:t>
            </w:r>
          </w:p>
        </w:tc>
        <w:tc>
          <w:tcPr>
            <w:tcW w:w="980" w:type="dxa"/>
            <w:vAlign w:val="bottom"/>
            <w:tcBorders>
              <w:bottom w:val="single" w:sz="8" w:color="F2FFFF"/>
            </w:tcBorders>
            <w:shd w:val="clear" w:color="auto" w:fill="F2FFFF"/>
          </w:tcPr>
          <w:p>
            <w:pPr>
              <w:jc w:val="right"/>
              <w:ind w:right="41"/>
              <w:spacing w:after="0"/>
              <w:rPr>
                <w:sz w:val="20"/>
                <w:szCs w:val="20"/>
                <w:color w:val="auto"/>
              </w:rPr>
            </w:pPr>
            <w:r>
              <w:rPr>
                <w:rFonts w:ascii="Arial" w:cs="Arial" w:eastAsia="Arial" w:hAnsi="Arial"/>
                <w:sz w:val="16"/>
                <w:szCs w:val="16"/>
                <w:color w:val="auto"/>
              </w:rPr>
              <w:t>524,802</w:t>
            </w:r>
          </w:p>
        </w:tc>
      </w:tr>
      <w:tr>
        <w:trPr>
          <w:trHeight w:val="20"/>
        </w:trPr>
        <w:tc>
          <w:tcPr>
            <w:tcW w:w="9040" w:type="dxa"/>
            <w:vAlign w:val="bottom"/>
            <w:tcBorders>
              <w:right w:val="single" w:sz="8" w:color="B2B2B2"/>
            </w:tcBorders>
            <w:shd w:val="clear" w:color="auto" w:fill="B2B2B2"/>
          </w:tcPr>
          <w:p>
            <w:pPr>
              <w:spacing w:after="0" w:line="20" w:lineRule="exact"/>
              <w:rPr>
                <w:sz w:val="1"/>
                <w:szCs w:val="1"/>
                <w:color w:val="auto"/>
              </w:rPr>
            </w:pPr>
          </w:p>
        </w:tc>
        <w:tc>
          <w:tcPr>
            <w:tcW w:w="1000" w:type="dxa"/>
            <w:vAlign w:val="bottom"/>
            <w:tcBorders>
              <w:right w:val="single" w:sz="8" w:color="B2B2B2"/>
            </w:tcBorders>
            <w:shd w:val="clear" w:color="auto" w:fill="B2B2B2"/>
          </w:tcPr>
          <w:p>
            <w:pPr>
              <w:spacing w:after="0" w:line="20" w:lineRule="exact"/>
              <w:rPr>
                <w:sz w:val="1"/>
                <w:szCs w:val="1"/>
                <w:color w:val="auto"/>
              </w:rPr>
            </w:pPr>
          </w:p>
        </w:tc>
        <w:tc>
          <w:tcPr>
            <w:tcW w:w="980" w:type="dxa"/>
            <w:vAlign w:val="bottom"/>
            <w:shd w:val="clear" w:color="auto" w:fill="B2B2B2"/>
          </w:tcPr>
          <w:p>
            <w:pPr>
              <w:spacing w:after="0" w:line="20" w:lineRule="exact"/>
              <w:rPr>
                <w:sz w:val="1"/>
                <w:szCs w:val="1"/>
                <w:color w:val="auto"/>
              </w:rPr>
            </w:pPr>
          </w:p>
        </w:tc>
      </w:tr>
    </w:tbl>
    <w:p>
      <w:pPr>
        <w:spacing w:after="0" w:line="30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U.S. Federal Income Tax Considerations</w:t>
      </w:r>
    </w:p>
    <w:p>
      <w:pPr>
        <w:spacing w:after="0" w:line="49" w:lineRule="exact"/>
        <w:rPr>
          <w:sz w:val="20"/>
          <w:szCs w:val="20"/>
          <w:color w:val="auto"/>
        </w:rPr>
      </w:pPr>
    </w:p>
    <w:p>
      <w:pPr>
        <w:ind w:left="120" w:right="220"/>
        <w:spacing w:after="0" w:line="305" w:lineRule="auto"/>
        <w:rPr>
          <w:sz w:val="20"/>
          <w:szCs w:val="20"/>
          <w:color w:val="auto"/>
        </w:rPr>
      </w:pPr>
      <w:r>
        <w:rPr>
          <w:rFonts w:ascii="Arial" w:cs="Arial" w:eastAsia="Arial" w:hAnsi="Arial"/>
          <w:sz w:val="16"/>
          <w:szCs w:val="16"/>
          <w:color w:val="auto"/>
        </w:rPr>
        <w:t>The following is a brief summary of certain of the Federal income tax consequences of certain transactions under the Amended Plan based on Federal income tax laws in effect. This summary, which is presented for the information of stockholders considering how to vote on this proposal and not for Amended Plan participants, is not intended to be complete and does not describe Federal taxes other than income taxes (such as Medicare and Social Security taxes), or state, local or foreign tax consequences.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Tax Consequences to Participants</w:t>
      </w:r>
    </w:p>
    <w:p>
      <w:pPr>
        <w:spacing w:after="0" w:line="117" w:lineRule="exact"/>
        <w:rPr>
          <w:sz w:val="20"/>
          <w:szCs w:val="20"/>
          <w:color w:val="auto"/>
        </w:rPr>
      </w:pPr>
    </w:p>
    <w:p>
      <w:pPr>
        <w:ind w:left="120" w:right="200"/>
        <w:spacing w:after="0" w:line="339"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The recipient of restricted stock generally will be subject to tax at ordinary income rates on the fair market value of the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by any amount paid by the recipient for such restricted stock)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120" w:right="40"/>
        <w:spacing w:after="0" w:line="307" w:lineRule="auto"/>
        <w:rPr>
          <w:sz w:val="20"/>
          <w:szCs w:val="20"/>
          <w:color w:val="auto"/>
        </w:rPr>
      </w:pPr>
      <w:r>
        <w:rPr>
          <w:rFonts w:ascii="Arial" w:cs="Arial" w:eastAsia="Arial" w:hAnsi="Arial"/>
          <w:sz w:val="16"/>
          <w:szCs w:val="16"/>
          <w:color w:val="auto"/>
        </w:rPr>
        <w:t>such time as the restricted stock are no longer subject to forfeiture or restrictions on transfer for purposes of Section 83 of the Internal Revenue Code of 1986, as amended (the “Code”) (“Restrictions”). However, a recipient who so elects under Section 83(b) of the Code within 30 days of the date of transfer of the stock will have taxable ordinary income on the date of transfer of the stock equal to the excess of the fair market value of such stock (determined without regard to the Restrictions) over the purchase price, if any, of such restricted stock. If a Section 83(b) election has not been made, any dividends received with respect to restricted stock that are subject to the Restrictions generally will be treated as compensation that is taxable as ordinary income to the recipient.</w:t>
      </w:r>
    </w:p>
    <w:p>
      <w:pPr>
        <w:spacing w:after="0" w:line="181"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No income generally will be recognized upon the grant of performance awards. Upon payment in respect of the earned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 the recipient generally will be required to include as taxable ordinary income in the year of receipt an amount equal to the amount of cash received and the fair market value of any unrestricted shares of Class A common stock received.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In general:</w:t>
      </w:r>
    </w:p>
    <w:p>
      <w:pPr>
        <w:spacing w:after="0" w:line="167"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income will be recognized by an optionee at the time an NSO is granted;</w:t>
      </w:r>
    </w:p>
    <w:p>
      <w:pPr>
        <w:spacing w:after="0" w:line="153" w:lineRule="exact"/>
        <w:rPr>
          <w:rFonts w:ascii="Arial" w:cs="Arial" w:eastAsia="Arial" w:hAnsi="Arial"/>
          <w:sz w:val="16"/>
          <w:szCs w:val="16"/>
          <w:color w:val="auto"/>
        </w:rPr>
      </w:pPr>
    </w:p>
    <w:p>
      <w:pPr>
        <w:ind w:left="540" w:right="40" w:hanging="316"/>
        <w:spacing w:after="0" w:line="321"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the time of exercise of an NSO, ordinary income will be recognized by the optionee in an amount equal to the difference between the option price paid for the shares and the fair market value of the shares, if unrestricted, on the date of exercise; and</w:t>
      </w:r>
    </w:p>
    <w:p>
      <w:pPr>
        <w:spacing w:after="0" w:line="61" w:lineRule="exact"/>
        <w:rPr>
          <w:rFonts w:ascii="Arial" w:cs="Arial" w:eastAsia="Arial" w:hAnsi="Arial"/>
          <w:sz w:val="16"/>
          <w:szCs w:val="16"/>
          <w:color w:val="auto"/>
        </w:rPr>
      </w:pPr>
    </w:p>
    <w:p>
      <w:pPr>
        <w:ind w:left="540" w:right="400" w:hanging="316"/>
        <w:spacing w:after="0" w:line="321" w:lineRule="auto"/>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the time of sale of shares acquired pursuant to the exercise of an NSO, appreciation (or depreciation) in value of the shares after the date of exercise will be treated as either short-term or long-term capital gain (or loss) depending on how long the shares have been held.</w:t>
      </w:r>
    </w:p>
    <w:p>
      <w:pPr>
        <w:spacing w:after="0" w:line="156" w:lineRule="exact"/>
        <w:rPr>
          <w:sz w:val="20"/>
          <w:szCs w:val="20"/>
          <w:color w:val="auto"/>
        </w:rPr>
      </w:pPr>
    </w:p>
    <w:p>
      <w:pPr>
        <w:ind w:left="120" w:right="40"/>
        <w:spacing w:after="0" w:line="30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No income generally will be recognized by an optionee upon the grant or exercise of an “incentive stock option”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(or ISO). If shares of Class A common stock are issued to the optionee pursuant to the exercise of an incentive stock option, and if no disqualifying disposition of such shares is made by such optionee within two years after the date of grant or within one year after the transfer of such shares to the optionee, then upon sale of such shares, any amount realized in excess of the option price will be taxed to the optionee as a long-term capital gain and any loss sustained will be a long-term capital loss. If shares of Class A common stock acquired upon the exercise of an incentive stock option are disposed of prior to the expiration of either holding period described above, the optionee generally will recognize ordinary income in the year of disposition in an amount equal to the excess (if any) of the fair market value of such shares at the time of exercise (or, if less, the amount realized on the disposition of such shares if a sale or exchange) over the exercise price paid for such shares. Any further gain (or loss) realized by the participant generally will be taxed as short-term or long-term capital gain (or loss) depending on the holding period.</w:t>
      </w:r>
    </w:p>
    <w:p>
      <w:pPr>
        <w:spacing w:after="0" w:line="184" w:lineRule="exact"/>
        <w:rPr>
          <w:sz w:val="20"/>
          <w:szCs w:val="20"/>
          <w:color w:val="auto"/>
        </w:rPr>
      </w:pPr>
    </w:p>
    <w:p>
      <w:pPr>
        <w:ind w:left="120" w:right="200"/>
        <w:spacing w:after="0" w:line="319"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No income will be recognized by a participant in connection with the grant of a stock appreciation right. When the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 is exercised, the participant normally will be required to include as taxable ordinary income in the year of exercise an amount equal to the amount of cash received and the fair market value of any unrestricted shares of Class A common stock received on the exercise.</w:t>
      </w:r>
    </w:p>
    <w:p>
      <w:pPr>
        <w:spacing w:after="0" w:line="171" w:lineRule="exact"/>
        <w:rPr>
          <w:sz w:val="20"/>
          <w:szCs w:val="20"/>
          <w:color w:val="auto"/>
        </w:rPr>
      </w:pPr>
    </w:p>
    <w:p>
      <w:pPr>
        <w:ind w:left="120" w:right="200"/>
        <w:spacing w:after="0" w:line="312"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No income generally will be recognized upon the award of restricted stock units. The recipient of a restricted stock unit award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be subject to tax at ordinary income rates on the fair market value of unrestricted shares of Class A common stock on the date that such shares are transferred to the participant under the award (reduced by any amount paid by the participant for such restricted stock units), and the capital gains/loss holding period for such shares will also commence on such date.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Tax Consequences to the Company and its Subsidiaries</w:t>
      </w:r>
    </w:p>
    <w:p>
      <w:pPr>
        <w:spacing w:after="0" w:line="117" w:lineRule="exact"/>
        <w:rPr>
          <w:sz w:val="20"/>
          <w:szCs w:val="20"/>
          <w:color w:val="auto"/>
        </w:rPr>
      </w:pPr>
    </w:p>
    <w:p>
      <w:pPr>
        <w:ind w:left="120" w:right="240"/>
        <w:spacing w:after="0" w:line="339" w:lineRule="auto"/>
        <w:rPr>
          <w:sz w:val="20"/>
          <w:szCs w:val="20"/>
          <w:color w:val="auto"/>
        </w:rPr>
      </w:pPr>
      <w:r>
        <w:rPr>
          <w:rFonts w:ascii="Arial" w:cs="Arial" w:eastAsia="Arial" w:hAnsi="Arial"/>
          <w:sz w:val="16"/>
          <w:szCs w:val="16"/>
          <w:color w:val="auto"/>
        </w:rPr>
        <w:t>To the extent that a participant recognizes ordinary income in the circumstances described above, the Company or the affiliate for which the participant performs services will be entitled to a corresponding deduction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2—APPROVAL OF AMENDMENT TO THE NERDWALLET, INC. 2021 EQUITY INCENTIVE PLAN</w:t>
      </w:r>
    </w:p>
    <w:p>
      <w:pPr>
        <w:spacing w:after="0" w:line="167" w:lineRule="exact"/>
        <w:rPr>
          <w:sz w:val="20"/>
          <w:szCs w:val="20"/>
          <w:color w:val="auto"/>
        </w:rPr>
      </w:pPr>
    </w:p>
    <w:p>
      <w:pPr>
        <w:ind w:left="120" w:right="20"/>
        <w:spacing w:after="0" w:line="319" w:lineRule="auto"/>
        <w:rPr>
          <w:sz w:val="20"/>
          <w:szCs w:val="20"/>
          <w:color w:val="auto"/>
        </w:rPr>
      </w:pPr>
      <w:r>
        <w:rPr>
          <w:rFonts w:ascii="Arial" w:cs="Arial" w:eastAsia="Arial" w:hAnsi="Arial"/>
          <w:sz w:val="16"/>
          <w:szCs w:val="16"/>
          <w:color w:val="auto"/>
        </w:rPr>
        <w:t>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Registration with the Securities and Exchange Commission</w:t>
      </w:r>
    </w:p>
    <w:p>
      <w:pPr>
        <w:spacing w:after="0" w:line="249" w:lineRule="exact"/>
        <w:rPr>
          <w:sz w:val="20"/>
          <w:szCs w:val="20"/>
          <w:color w:val="auto"/>
        </w:rPr>
      </w:pPr>
    </w:p>
    <w:p>
      <w:pPr>
        <w:ind w:left="120" w:right="80"/>
        <w:spacing w:after="0" w:line="339" w:lineRule="auto"/>
        <w:rPr>
          <w:sz w:val="20"/>
          <w:szCs w:val="20"/>
          <w:color w:val="auto"/>
        </w:rPr>
      </w:pPr>
      <w:r>
        <w:rPr>
          <w:rFonts w:ascii="Arial" w:cs="Arial" w:eastAsia="Arial" w:hAnsi="Arial"/>
          <w:sz w:val="16"/>
          <w:szCs w:val="16"/>
          <w:color w:val="auto"/>
        </w:rPr>
        <w:t>We intend to file a Registration Statement on Form S-8 relating to the issuance of shares of our common stock under the Amended Plan, as amended by the Amendment, with the Securities and Exchange Commission, as soon as practicable after approval of the Amendment by our stockholders.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indicated information as of December 31, 2021 with respect to our equity compensation plans: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120" w:type="dxa"/>
            <w:vAlign w:val="bottom"/>
            <w:tcBorders>
              <w:top w:val="single" w:sz="8" w:color="60BAFF"/>
              <w:right w:val="single" w:sz="8" w:color="B2B2B2"/>
            </w:tcBorders>
          </w:tcPr>
          <w:p>
            <w:pPr>
              <w:spacing w:after="0"/>
              <w:rPr>
                <w:sz w:val="19"/>
                <w:szCs w:val="19"/>
                <w:color w:val="auto"/>
              </w:rPr>
            </w:pPr>
          </w:p>
        </w:tc>
        <w:tc>
          <w:tcPr>
            <w:tcW w:w="1660" w:type="dxa"/>
            <w:vAlign w:val="bottom"/>
            <w:tcBorders>
              <w:top w:val="single" w:sz="8" w:color="60BAFF"/>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Number of</w:t>
            </w:r>
          </w:p>
        </w:tc>
        <w:tc>
          <w:tcPr>
            <w:tcW w:w="400" w:type="dxa"/>
            <w:vAlign w:val="bottom"/>
            <w:tcBorders>
              <w:top w:val="single" w:sz="8" w:color="60BAFF"/>
            </w:tcBorders>
          </w:tcPr>
          <w:p>
            <w:pPr>
              <w:spacing w:after="0"/>
              <w:rPr>
                <w:sz w:val="19"/>
                <w:szCs w:val="19"/>
                <w:color w:val="auto"/>
              </w:rPr>
            </w:pPr>
          </w:p>
        </w:tc>
        <w:tc>
          <w:tcPr>
            <w:tcW w:w="1200" w:type="dxa"/>
            <w:vAlign w:val="bottom"/>
            <w:tcBorders>
              <w:top w:val="single" w:sz="8" w:color="60BAFF"/>
              <w:right w:val="single" w:sz="8" w:color="B2B2B2"/>
            </w:tcBorders>
          </w:tcPr>
          <w:p>
            <w:pPr>
              <w:spacing w:after="0"/>
              <w:rPr>
                <w:sz w:val="19"/>
                <w:szCs w:val="19"/>
                <w:color w:val="auto"/>
              </w:rPr>
            </w:pPr>
          </w:p>
        </w:tc>
        <w:tc>
          <w:tcPr>
            <w:tcW w:w="1640" w:type="dxa"/>
            <w:vAlign w:val="bottom"/>
            <w:tcBorders>
              <w:top w:val="single" w:sz="8" w:color="60BAFF"/>
            </w:tcBorders>
          </w:tcPr>
          <w:p>
            <w:pPr>
              <w:jc w:val="center"/>
              <w:spacing w:after="0"/>
              <w:rPr>
                <w:sz w:val="20"/>
                <w:szCs w:val="20"/>
                <w:color w:val="auto"/>
              </w:rPr>
            </w:pPr>
            <w:r>
              <w:rPr>
                <w:rFonts w:ascii="Arial" w:cs="Arial" w:eastAsia="Arial" w:hAnsi="Arial"/>
                <w:sz w:val="14"/>
                <w:szCs w:val="14"/>
                <w:b w:val="1"/>
                <w:bCs w:val="1"/>
                <w:color w:val="60BAFF"/>
              </w:rPr>
              <w:t>Number of</w:t>
            </w:r>
          </w:p>
        </w:tc>
      </w:tr>
      <w:tr>
        <w:trPr>
          <w:trHeight w:val="162"/>
        </w:trPr>
        <w:tc>
          <w:tcPr>
            <w:tcW w:w="6120" w:type="dxa"/>
            <w:vAlign w:val="bottom"/>
            <w:tcBorders>
              <w:right w:val="single" w:sz="8" w:color="B2B2B2"/>
            </w:tcBorders>
          </w:tcPr>
          <w:p>
            <w:pPr>
              <w:spacing w:after="0"/>
              <w:rPr>
                <w:sz w:val="14"/>
                <w:szCs w:val="14"/>
                <w:color w:val="auto"/>
              </w:rPr>
            </w:pPr>
          </w:p>
        </w:tc>
        <w:tc>
          <w:tcPr>
            <w:tcW w:w="16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securities to be</w:t>
            </w:r>
          </w:p>
        </w:tc>
        <w:tc>
          <w:tcPr>
            <w:tcW w:w="400" w:type="dxa"/>
            <w:vAlign w:val="bottom"/>
          </w:tcPr>
          <w:p>
            <w:pPr>
              <w:spacing w:after="0"/>
              <w:rPr>
                <w:sz w:val="14"/>
                <w:szCs w:val="14"/>
                <w:color w:val="auto"/>
              </w:rPr>
            </w:pPr>
          </w:p>
        </w:tc>
        <w:tc>
          <w:tcPr>
            <w:tcW w:w="1200" w:type="dxa"/>
            <w:vAlign w:val="bottom"/>
            <w:tcBorders>
              <w:right w:val="single" w:sz="8" w:color="B2B2B2"/>
            </w:tcBorders>
          </w:tcPr>
          <w:p>
            <w:pPr>
              <w:jc w:val="center"/>
              <w:ind w:right="384"/>
              <w:spacing w:after="0"/>
              <w:rPr>
                <w:sz w:val="20"/>
                <w:szCs w:val="20"/>
                <w:color w:val="auto"/>
              </w:rPr>
            </w:pPr>
            <w:r>
              <w:rPr>
                <w:rFonts w:ascii="Arial" w:cs="Arial" w:eastAsia="Arial" w:hAnsi="Arial"/>
                <w:sz w:val="14"/>
                <w:szCs w:val="14"/>
                <w:b w:val="1"/>
                <w:bCs w:val="1"/>
                <w:color w:val="60BAFF"/>
              </w:rPr>
              <w:t>Weighted-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60BAFF"/>
              </w:rPr>
              <w:t>securities</w:t>
            </w:r>
          </w:p>
        </w:tc>
      </w:tr>
      <w:tr>
        <w:trPr>
          <w:trHeight w:val="162"/>
        </w:trPr>
        <w:tc>
          <w:tcPr>
            <w:tcW w:w="6120" w:type="dxa"/>
            <w:vAlign w:val="bottom"/>
            <w:tcBorders>
              <w:right w:val="single" w:sz="8" w:color="B2B2B2"/>
            </w:tcBorders>
          </w:tcPr>
          <w:p>
            <w:pPr>
              <w:spacing w:after="0"/>
              <w:rPr>
                <w:sz w:val="14"/>
                <w:szCs w:val="14"/>
                <w:color w:val="auto"/>
              </w:rPr>
            </w:pPr>
          </w:p>
        </w:tc>
        <w:tc>
          <w:tcPr>
            <w:tcW w:w="16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issued upon</w:t>
            </w:r>
          </w:p>
        </w:tc>
        <w:tc>
          <w:tcPr>
            <w:tcW w:w="400" w:type="dxa"/>
            <w:vAlign w:val="bottom"/>
          </w:tcPr>
          <w:p>
            <w:pPr>
              <w:spacing w:after="0"/>
              <w:rPr>
                <w:sz w:val="14"/>
                <w:szCs w:val="14"/>
                <w:color w:val="auto"/>
              </w:rPr>
            </w:pPr>
          </w:p>
        </w:tc>
        <w:tc>
          <w:tcPr>
            <w:tcW w:w="1200" w:type="dxa"/>
            <w:vAlign w:val="bottom"/>
            <w:tcBorders>
              <w:right w:val="single" w:sz="8" w:color="B2B2B2"/>
            </w:tcBorders>
          </w:tcPr>
          <w:p>
            <w:pPr>
              <w:jc w:val="center"/>
              <w:ind w:right="384"/>
              <w:spacing w:after="0"/>
              <w:rPr>
                <w:sz w:val="20"/>
                <w:szCs w:val="20"/>
                <w:color w:val="auto"/>
              </w:rPr>
            </w:pPr>
            <w:r>
              <w:rPr>
                <w:rFonts w:ascii="Arial" w:cs="Arial" w:eastAsia="Arial" w:hAnsi="Arial"/>
                <w:sz w:val="14"/>
                <w:szCs w:val="14"/>
                <w:b w:val="1"/>
                <w:bCs w:val="1"/>
                <w:color w:val="60BAFF"/>
              </w:rPr>
              <w:t>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60BAFF"/>
              </w:rPr>
              <w:t>remaining</w:t>
            </w:r>
          </w:p>
        </w:tc>
      </w:tr>
      <w:tr>
        <w:trPr>
          <w:trHeight w:val="162"/>
        </w:trPr>
        <w:tc>
          <w:tcPr>
            <w:tcW w:w="6120" w:type="dxa"/>
            <w:vAlign w:val="bottom"/>
            <w:tcBorders>
              <w:right w:val="single" w:sz="8" w:color="B2B2B2"/>
            </w:tcBorders>
          </w:tcPr>
          <w:p>
            <w:pPr>
              <w:spacing w:after="0"/>
              <w:rPr>
                <w:sz w:val="14"/>
                <w:szCs w:val="14"/>
                <w:color w:val="auto"/>
              </w:rPr>
            </w:pPr>
          </w:p>
        </w:tc>
        <w:tc>
          <w:tcPr>
            <w:tcW w:w="16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exercise of</w:t>
            </w:r>
          </w:p>
        </w:tc>
        <w:tc>
          <w:tcPr>
            <w:tcW w:w="1600" w:type="dxa"/>
            <w:vAlign w:val="bottom"/>
            <w:tcBorders>
              <w:right w:val="single" w:sz="8" w:color="B2B2B2"/>
            </w:tcBorders>
            <w:gridSpan w:val="2"/>
          </w:tcPr>
          <w:p>
            <w:pPr>
              <w:jc w:val="center"/>
              <w:spacing w:after="0"/>
              <w:rPr>
                <w:sz w:val="20"/>
                <w:szCs w:val="20"/>
                <w:color w:val="auto"/>
              </w:rPr>
            </w:pPr>
            <w:r>
              <w:rPr>
                <w:rFonts w:ascii="Arial" w:cs="Arial" w:eastAsia="Arial" w:hAnsi="Arial"/>
                <w:sz w:val="14"/>
                <w:szCs w:val="14"/>
                <w:b w:val="1"/>
                <w:bCs w:val="1"/>
                <w:color w:val="60BAFF"/>
              </w:rPr>
              <w:t>exercise price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60BAFF"/>
              </w:rPr>
              <w:t>available for</w:t>
            </w:r>
          </w:p>
        </w:tc>
      </w:tr>
      <w:tr>
        <w:trPr>
          <w:trHeight w:val="162"/>
        </w:trPr>
        <w:tc>
          <w:tcPr>
            <w:tcW w:w="6120" w:type="dxa"/>
            <w:vAlign w:val="bottom"/>
            <w:tcBorders>
              <w:right w:val="single" w:sz="8" w:color="B2B2B2"/>
            </w:tcBorders>
          </w:tcPr>
          <w:p>
            <w:pPr>
              <w:spacing w:after="0"/>
              <w:rPr>
                <w:sz w:val="14"/>
                <w:szCs w:val="14"/>
                <w:color w:val="auto"/>
              </w:rPr>
            </w:pPr>
          </w:p>
        </w:tc>
        <w:tc>
          <w:tcPr>
            <w:tcW w:w="16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outstanding</w:t>
            </w:r>
          </w:p>
        </w:tc>
        <w:tc>
          <w:tcPr>
            <w:tcW w:w="1600" w:type="dxa"/>
            <w:vAlign w:val="bottom"/>
            <w:tcBorders>
              <w:right w:val="single" w:sz="8" w:color="B2B2B2"/>
            </w:tcBorders>
            <w:gridSpan w:val="2"/>
          </w:tcPr>
          <w:p>
            <w:pPr>
              <w:jc w:val="center"/>
              <w:spacing w:after="0"/>
              <w:rPr>
                <w:sz w:val="20"/>
                <w:szCs w:val="20"/>
                <w:color w:val="auto"/>
              </w:rPr>
            </w:pPr>
            <w:r>
              <w:rPr>
                <w:rFonts w:ascii="Arial" w:cs="Arial" w:eastAsia="Arial" w:hAnsi="Arial"/>
                <w:sz w:val="14"/>
                <w:szCs w:val="14"/>
                <w:b w:val="1"/>
                <w:bCs w:val="1"/>
                <w:color w:val="60BAFF"/>
              </w:rPr>
              <w:t>of outstanding</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60BAFF"/>
              </w:rPr>
              <w:t>future issuance</w:t>
            </w:r>
          </w:p>
        </w:tc>
      </w:tr>
      <w:tr>
        <w:trPr>
          <w:trHeight w:val="162"/>
        </w:trPr>
        <w:tc>
          <w:tcPr>
            <w:tcW w:w="6120" w:type="dxa"/>
            <w:vAlign w:val="bottom"/>
            <w:tcBorders>
              <w:right w:val="single" w:sz="8" w:color="B2B2B2"/>
            </w:tcBorders>
          </w:tcPr>
          <w:p>
            <w:pPr>
              <w:spacing w:after="0"/>
              <w:rPr>
                <w:sz w:val="14"/>
                <w:szCs w:val="14"/>
                <w:color w:val="auto"/>
              </w:rPr>
            </w:pPr>
          </w:p>
        </w:tc>
        <w:tc>
          <w:tcPr>
            <w:tcW w:w="1660" w:type="dxa"/>
            <w:vAlign w:val="bottom"/>
            <w:tcBorders>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options,</w:t>
            </w:r>
          </w:p>
        </w:tc>
        <w:tc>
          <w:tcPr>
            <w:tcW w:w="400" w:type="dxa"/>
            <w:vAlign w:val="bottom"/>
          </w:tcPr>
          <w:p>
            <w:pPr>
              <w:spacing w:after="0"/>
              <w:rPr>
                <w:sz w:val="14"/>
                <w:szCs w:val="14"/>
                <w:color w:val="auto"/>
              </w:rPr>
            </w:pPr>
          </w:p>
        </w:tc>
        <w:tc>
          <w:tcPr>
            <w:tcW w:w="1200" w:type="dxa"/>
            <w:vAlign w:val="bottom"/>
            <w:tcBorders>
              <w:right w:val="single" w:sz="8" w:color="B2B2B2"/>
            </w:tcBorders>
          </w:tcPr>
          <w:p>
            <w:pPr>
              <w:jc w:val="center"/>
              <w:ind w:right="364"/>
              <w:spacing w:after="0"/>
              <w:rPr>
                <w:sz w:val="20"/>
                <w:szCs w:val="20"/>
                <w:color w:val="auto"/>
              </w:rPr>
            </w:pPr>
            <w:r>
              <w:rPr>
                <w:rFonts w:ascii="Arial" w:cs="Arial" w:eastAsia="Arial" w:hAnsi="Arial"/>
                <w:sz w:val="14"/>
                <w:szCs w:val="14"/>
                <w:b w:val="1"/>
                <w:bCs w:val="1"/>
                <w:color w:val="60BAFF"/>
              </w:rPr>
              <w:t>options,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60BAFF"/>
              </w:rPr>
              <w:t>under equity</w:t>
            </w:r>
          </w:p>
        </w:tc>
      </w:tr>
      <w:tr>
        <w:trPr>
          <w:trHeight w:val="157"/>
        </w:trPr>
        <w:tc>
          <w:tcPr>
            <w:tcW w:w="6120" w:type="dxa"/>
            <w:vAlign w:val="bottom"/>
            <w:tcBorders>
              <w:right w:val="single" w:sz="8" w:color="B2B2B2"/>
            </w:tcBorders>
          </w:tcPr>
          <w:p>
            <w:pPr>
              <w:spacing w:after="0"/>
              <w:rPr>
                <w:sz w:val="13"/>
                <w:szCs w:val="13"/>
                <w:color w:val="auto"/>
              </w:rPr>
            </w:pPr>
          </w:p>
        </w:tc>
        <w:tc>
          <w:tcPr>
            <w:tcW w:w="1660" w:type="dxa"/>
            <w:vAlign w:val="bottom"/>
            <w:tcBorders>
              <w:right w:val="single" w:sz="8" w:color="B2B2B2"/>
            </w:tcBorders>
          </w:tcPr>
          <w:p>
            <w:pPr>
              <w:jc w:val="center"/>
              <w:spacing w:after="0" w:line="157" w:lineRule="exact"/>
              <w:rPr>
                <w:sz w:val="20"/>
                <w:szCs w:val="20"/>
                <w:color w:val="auto"/>
              </w:rPr>
            </w:pPr>
            <w:r>
              <w:rPr>
                <w:rFonts w:ascii="Arial" w:cs="Arial" w:eastAsia="Arial" w:hAnsi="Arial"/>
                <w:sz w:val="14"/>
                <w:szCs w:val="14"/>
                <w:b w:val="1"/>
                <w:bCs w:val="1"/>
                <w:color w:val="60BAFF"/>
              </w:rPr>
              <w:t>warrants and</w:t>
            </w:r>
          </w:p>
        </w:tc>
        <w:tc>
          <w:tcPr>
            <w:tcW w:w="1600" w:type="dxa"/>
            <w:vAlign w:val="bottom"/>
            <w:tcBorders>
              <w:right w:val="single" w:sz="8" w:color="B2B2B2"/>
            </w:tcBorders>
            <w:gridSpan w:val="2"/>
          </w:tcPr>
          <w:p>
            <w:pPr>
              <w:jc w:val="center"/>
              <w:spacing w:after="0" w:line="157" w:lineRule="exact"/>
              <w:rPr>
                <w:sz w:val="20"/>
                <w:szCs w:val="20"/>
                <w:color w:val="auto"/>
              </w:rPr>
            </w:pPr>
            <w:r>
              <w:rPr>
                <w:rFonts w:ascii="Arial" w:cs="Arial" w:eastAsia="Arial" w:hAnsi="Arial"/>
                <w:sz w:val="14"/>
                <w:szCs w:val="14"/>
                <w:b w:val="1"/>
                <w:bCs w:val="1"/>
                <w:color w:val="60BAFF"/>
              </w:rPr>
              <w:t>warrants and</w:t>
            </w:r>
          </w:p>
        </w:tc>
        <w:tc>
          <w:tcPr>
            <w:tcW w:w="1640" w:type="dxa"/>
            <w:vAlign w:val="bottom"/>
          </w:tcPr>
          <w:p>
            <w:pPr>
              <w:jc w:val="center"/>
              <w:spacing w:after="0" w:line="157" w:lineRule="exact"/>
              <w:rPr>
                <w:sz w:val="20"/>
                <w:szCs w:val="20"/>
                <w:color w:val="auto"/>
              </w:rPr>
            </w:pPr>
            <w:r>
              <w:rPr>
                <w:rFonts w:ascii="Arial" w:cs="Arial" w:eastAsia="Arial" w:hAnsi="Arial"/>
                <w:sz w:val="14"/>
                <w:szCs w:val="14"/>
                <w:b w:val="1"/>
                <w:bCs w:val="1"/>
                <w:color w:val="60BAFF"/>
              </w:rPr>
              <w:t>compensation</w:t>
            </w:r>
          </w:p>
        </w:tc>
      </w:tr>
      <w:tr>
        <w:trPr>
          <w:trHeight w:val="244"/>
        </w:trPr>
        <w:tc>
          <w:tcPr>
            <w:tcW w:w="6120" w:type="dxa"/>
            <w:vAlign w:val="bottom"/>
            <w:tcBorders>
              <w:bottom w:val="single" w:sz="8" w:color="60BAFF"/>
              <w:right w:val="single" w:sz="8" w:color="B2B2B2"/>
            </w:tcBorders>
          </w:tcPr>
          <w:p>
            <w:pPr>
              <w:ind w:left="60"/>
              <w:spacing w:after="0"/>
              <w:rPr>
                <w:sz w:val="20"/>
                <w:szCs w:val="20"/>
                <w:color w:val="auto"/>
              </w:rPr>
            </w:pPr>
            <w:r>
              <w:rPr>
                <w:rFonts w:ascii="Arial" w:cs="Arial" w:eastAsia="Arial" w:hAnsi="Arial"/>
                <w:sz w:val="14"/>
                <w:szCs w:val="14"/>
                <w:b w:val="1"/>
                <w:bCs w:val="1"/>
                <w:color w:val="60BAFF"/>
              </w:rPr>
              <w:t>Plan Category</w:t>
            </w:r>
          </w:p>
        </w:tc>
        <w:tc>
          <w:tcPr>
            <w:tcW w:w="1660" w:type="dxa"/>
            <w:vAlign w:val="bottom"/>
            <w:tcBorders>
              <w:bottom w:val="single" w:sz="8" w:color="60BAFF"/>
              <w:right w:val="single" w:sz="8" w:color="B2B2B2"/>
            </w:tcBorders>
          </w:tcPr>
          <w:p>
            <w:pPr>
              <w:jc w:val="center"/>
              <w:spacing w:after="0"/>
              <w:rPr>
                <w:sz w:val="20"/>
                <w:szCs w:val="20"/>
                <w:color w:val="auto"/>
              </w:rPr>
            </w:pPr>
            <w:r>
              <w:rPr>
                <w:rFonts w:ascii="Arial" w:cs="Arial" w:eastAsia="Arial" w:hAnsi="Arial"/>
                <w:sz w:val="14"/>
                <w:szCs w:val="14"/>
                <w:b w:val="1"/>
                <w:bCs w:val="1"/>
                <w:color w:val="60BAFF"/>
              </w:rPr>
              <w:t>rights</w:t>
            </w:r>
          </w:p>
        </w:tc>
        <w:tc>
          <w:tcPr>
            <w:tcW w:w="400" w:type="dxa"/>
            <w:vAlign w:val="bottom"/>
            <w:tcBorders>
              <w:bottom w:val="single" w:sz="8" w:color="60BAFF"/>
            </w:tcBorders>
          </w:tcPr>
          <w:p>
            <w:pPr>
              <w:spacing w:after="0"/>
              <w:rPr>
                <w:sz w:val="21"/>
                <w:szCs w:val="21"/>
                <w:color w:val="auto"/>
              </w:rPr>
            </w:pPr>
          </w:p>
        </w:tc>
        <w:tc>
          <w:tcPr>
            <w:tcW w:w="1200" w:type="dxa"/>
            <w:vAlign w:val="bottom"/>
            <w:tcBorders>
              <w:bottom w:val="single" w:sz="8" w:color="60BAFF"/>
              <w:right w:val="single" w:sz="8" w:color="B2B2B2"/>
            </w:tcBorders>
          </w:tcPr>
          <w:p>
            <w:pPr>
              <w:jc w:val="center"/>
              <w:ind w:right="384"/>
              <w:spacing w:after="0" w:line="244" w:lineRule="exact"/>
              <w:rPr>
                <w:sz w:val="20"/>
                <w:szCs w:val="20"/>
                <w:color w:val="auto"/>
              </w:rPr>
            </w:pPr>
            <w:r>
              <w:rPr>
                <w:rFonts w:ascii="Arial" w:cs="Arial" w:eastAsia="Arial" w:hAnsi="Arial"/>
                <w:sz w:val="14"/>
                <w:szCs w:val="14"/>
                <w:b w:val="1"/>
                <w:bCs w:val="1"/>
                <w:color w:val="60BAFF"/>
                <w:w w:val="92"/>
              </w:rPr>
              <w:t>rights</w:t>
            </w:r>
            <w:r>
              <w:rPr>
                <w:rFonts w:ascii="Arial" w:cs="Arial" w:eastAsia="Arial" w:hAnsi="Arial"/>
                <w:sz w:val="24"/>
                <w:szCs w:val="24"/>
                <w:b w:val="1"/>
                <w:bCs w:val="1"/>
                <w:color w:val="60BAFF"/>
                <w:w w:val="92"/>
                <w:vertAlign w:val="superscript"/>
              </w:rPr>
              <w:t>(1)</w:t>
            </w:r>
          </w:p>
        </w:tc>
        <w:tc>
          <w:tcPr>
            <w:tcW w:w="1640" w:type="dxa"/>
            <w:vAlign w:val="bottom"/>
            <w:tcBorders>
              <w:bottom w:val="single" w:sz="8" w:color="60BAFF"/>
            </w:tcBorders>
          </w:tcPr>
          <w:p>
            <w:pPr>
              <w:jc w:val="center"/>
              <w:spacing w:after="0"/>
              <w:rPr>
                <w:sz w:val="20"/>
                <w:szCs w:val="20"/>
                <w:color w:val="auto"/>
              </w:rPr>
            </w:pPr>
            <w:r>
              <w:rPr>
                <w:rFonts w:ascii="Arial" w:cs="Arial" w:eastAsia="Arial" w:hAnsi="Arial"/>
                <w:sz w:val="14"/>
                <w:szCs w:val="14"/>
                <w:b w:val="1"/>
                <w:bCs w:val="1"/>
                <w:color w:val="60BAFF"/>
                <w:w w:val="98"/>
              </w:rPr>
              <w:t>plans</w:t>
            </w:r>
          </w:p>
        </w:tc>
      </w:tr>
      <w:tr>
        <w:trPr>
          <w:trHeight w:val="256"/>
        </w:trPr>
        <w:tc>
          <w:tcPr>
            <w:tcW w:w="612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660" w:type="dxa"/>
            <w:vAlign w:val="bottom"/>
            <w:tcBorders>
              <w:right w:val="single" w:sz="8" w:color="B2B2B2"/>
            </w:tcBorders>
          </w:tcPr>
          <w:p>
            <w:pPr>
              <w:jc w:val="right"/>
              <w:ind w:right="246"/>
              <w:spacing w:after="0"/>
              <w:rPr>
                <w:sz w:val="20"/>
                <w:szCs w:val="20"/>
                <w:color w:val="auto"/>
              </w:rPr>
            </w:pPr>
            <w:r>
              <w:rPr>
                <w:rFonts w:ascii="Arial" w:cs="Arial" w:eastAsia="Arial" w:hAnsi="Arial"/>
                <w:sz w:val="16"/>
                <w:szCs w:val="16"/>
                <w:color w:val="auto"/>
              </w:rPr>
              <w:t>10,261,061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244"/>
              <w:spacing w:after="0"/>
              <w:rPr>
                <w:sz w:val="20"/>
                <w:szCs w:val="20"/>
                <w:color w:val="auto"/>
              </w:rPr>
            </w:pPr>
            <w:r>
              <w:rPr>
                <w:rFonts w:ascii="Arial" w:cs="Arial" w:eastAsia="Arial" w:hAnsi="Arial"/>
                <w:sz w:val="16"/>
                <w:szCs w:val="16"/>
                <w:color w:val="auto"/>
              </w:rPr>
              <w:t>8.84</w:t>
            </w:r>
          </w:p>
        </w:tc>
        <w:tc>
          <w:tcPr>
            <w:tcW w:w="1640" w:type="dxa"/>
            <w:vAlign w:val="bottom"/>
          </w:tcPr>
          <w:p>
            <w:pPr>
              <w:jc w:val="right"/>
              <w:ind w:right="226"/>
              <w:spacing w:after="0"/>
              <w:rPr>
                <w:sz w:val="20"/>
                <w:szCs w:val="20"/>
                <w:color w:val="auto"/>
              </w:rPr>
            </w:pPr>
            <w:r>
              <w:rPr>
                <w:rFonts w:ascii="Arial" w:cs="Arial" w:eastAsia="Arial" w:hAnsi="Arial"/>
                <w:sz w:val="16"/>
                <w:szCs w:val="16"/>
                <w:color w:val="auto"/>
              </w:rPr>
              <w:t>3,679,069</w:t>
            </w:r>
          </w:p>
        </w:tc>
      </w:tr>
      <w:tr>
        <w:trPr>
          <w:trHeight w:val="48"/>
        </w:trPr>
        <w:tc>
          <w:tcPr>
            <w:tcW w:w="6120" w:type="dxa"/>
            <w:vAlign w:val="bottom"/>
            <w:tcBorders>
              <w:right w:val="single" w:sz="8" w:color="B2B2B2"/>
            </w:tcBorders>
          </w:tcPr>
          <w:p>
            <w:pPr>
              <w:spacing w:after="0"/>
              <w:rPr>
                <w:sz w:val="4"/>
                <w:szCs w:val="4"/>
                <w:color w:val="auto"/>
              </w:rPr>
            </w:pPr>
          </w:p>
        </w:tc>
        <w:tc>
          <w:tcPr>
            <w:tcW w:w="1660" w:type="dxa"/>
            <w:vAlign w:val="bottom"/>
            <w:tcBorders>
              <w:right w:val="single" w:sz="8" w:color="B2B2B2"/>
            </w:tcBorders>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Borders>
              <w:right w:val="single" w:sz="8" w:color="B2B2B2"/>
            </w:tcBorders>
          </w:tcPr>
          <w:p>
            <w:pPr>
              <w:spacing w:after="0"/>
              <w:rPr>
                <w:sz w:val="4"/>
                <w:szCs w:val="4"/>
                <w:color w:val="auto"/>
              </w:rPr>
            </w:pPr>
          </w:p>
        </w:tc>
        <w:tc>
          <w:tcPr>
            <w:tcW w:w="1640" w:type="dxa"/>
            <w:vAlign w:val="bottom"/>
          </w:tcPr>
          <w:p>
            <w:pPr>
              <w:spacing w:after="0"/>
              <w:rPr>
                <w:sz w:val="4"/>
                <w:szCs w:val="4"/>
                <w:color w:val="auto"/>
              </w:rPr>
            </w:pPr>
          </w:p>
        </w:tc>
      </w:tr>
      <w:tr>
        <w:trPr>
          <w:trHeight w:val="304"/>
        </w:trPr>
        <w:tc>
          <w:tcPr>
            <w:tcW w:w="6120" w:type="dxa"/>
            <w:vAlign w:val="bottom"/>
            <w:tcBorders>
              <w:bottom w:val="single" w:sz="8" w:color="F2FFFF"/>
              <w:right w:val="single" w:sz="8" w:color="B2B2B2"/>
            </w:tcBorders>
            <w:shd w:val="clear" w:color="auto" w:fill="F2FFFF"/>
          </w:tcPr>
          <w:p>
            <w:pPr>
              <w:ind w:left="6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660" w:type="dxa"/>
            <w:vAlign w:val="bottom"/>
            <w:tcBorders>
              <w:bottom w:val="single" w:sz="8" w:color="F2FFFF"/>
              <w:right w:val="single" w:sz="8" w:color="B2B2B2"/>
            </w:tcBorders>
            <w:shd w:val="clear" w:color="auto" w:fill="F2FFFF"/>
          </w:tcPr>
          <w:p>
            <w:pPr>
              <w:jc w:val="right"/>
              <w:ind w:right="246"/>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F2FFFF"/>
            </w:tcBorders>
            <w:shd w:val="clear" w:color="auto" w:fill="F2FFFF"/>
          </w:tcPr>
          <w:p>
            <w:pPr>
              <w:spacing w:after="0"/>
              <w:rPr>
                <w:sz w:val="24"/>
                <w:szCs w:val="24"/>
                <w:color w:val="auto"/>
              </w:rPr>
            </w:pPr>
          </w:p>
        </w:tc>
        <w:tc>
          <w:tcPr>
            <w:tcW w:w="1200" w:type="dxa"/>
            <w:vAlign w:val="bottom"/>
            <w:tcBorders>
              <w:bottom w:val="single" w:sz="8" w:color="F2FFFF"/>
              <w:right w:val="single" w:sz="8" w:color="B2B2B2"/>
            </w:tcBorders>
            <w:shd w:val="clear" w:color="auto" w:fill="F2FFFF"/>
          </w:tcPr>
          <w:p>
            <w:pPr>
              <w:jc w:val="right"/>
              <w:ind w:right="244"/>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F2FFFF"/>
            </w:tcBorders>
            <w:shd w:val="clear" w:color="auto" w:fill="F2FFFF"/>
          </w:tcPr>
          <w:p>
            <w:pPr>
              <w:jc w:val="right"/>
              <w:ind w:right="226"/>
              <w:spacing w:after="0"/>
              <w:rPr>
                <w:sz w:val="20"/>
                <w:szCs w:val="20"/>
                <w:color w:val="auto"/>
              </w:rPr>
            </w:pPr>
            <w:r>
              <w:rPr>
                <w:rFonts w:ascii="Arial" w:cs="Arial" w:eastAsia="Arial" w:hAnsi="Arial"/>
                <w:sz w:val="16"/>
                <w:szCs w:val="16"/>
                <w:color w:val="auto"/>
              </w:rPr>
              <w:t>—</w:t>
            </w:r>
          </w:p>
        </w:tc>
      </w:tr>
      <w:tr>
        <w:trPr>
          <w:trHeight w:val="276"/>
        </w:trPr>
        <w:tc>
          <w:tcPr>
            <w:tcW w:w="6120" w:type="dxa"/>
            <w:vAlign w:val="bottom"/>
            <w:tcBorders>
              <w:right w:val="single" w:sz="8" w:color="B2B2B2"/>
            </w:tcBorders>
          </w:tcPr>
          <w:p>
            <w:pPr>
              <w:ind w:left="60"/>
              <w:spacing w:after="0"/>
              <w:rPr>
                <w:sz w:val="20"/>
                <w:szCs w:val="20"/>
                <w:color w:val="auto"/>
              </w:rPr>
            </w:pPr>
            <w:r>
              <w:rPr>
                <w:rFonts w:ascii="Arial" w:cs="Arial" w:eastAsia="Arial" w:hAnsi="Arial"/>
                <w:sz w:val="16"/>
                <w:szCs w:val="16"/>
                <w:b w:val="1"/>
                <w:bCs w:val="1"/>
                <w:color w:val="auto"/>
              </w:rPr>
              <w:t>Total</w:t>
            </w:r>
          </w:p>
        </w:tc>
        <w:tc>
          <w:tcPr>
            <w:tcW w:w="1660" w:type="dxa"/>
            <w:vAlign w:val="bottom"/>
            <w:tcBorders>
              <w:right w:val="single" w:sz="8" w:color="B2B2B2"/>
            </w:tcBorders>
          </w:tcPr>
          <w:p>
            <w:pPr>
              <w:jc w:val="right"/>
              <w:ind w:right="246"/>
              <w:spacing w:after="0"/>
              <w:rPr>
                <w:sz w:val="20"/>
                <w:szCs w:val="20"/>
                <w:color w:val="auto"/>
              </w:rPr>
            </w:pPr>
            <w:r>
              <w:rPr>
                <w:rFonts w:ascii="Arial" w:cs="Arial" w:eastAsia="Arial" w:hAnsi="Arial"/>
                <w:sz w:val="16"/>
                <w:szCs w:val="16"/>
                <w:color w:val="auto"/>
              </w:rPr>
              <w:t>10,261,061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B2B2B2"/>
            </w:tcBorders>
          </w:tcPr>
          <w:p>
            <w:pPr>
              <w:jc w:val="right"/>
              <w:ind w:right="244"/>
              <w:spacing w:after="0"/>
              <w:rPr>
                <w:sz w:val="20"/>
                <w:szCs w:val="20"/>
                <w:color w:val="auto"/>
              </w:rPr>
            </w:pPr>
            <w:r>
              <w:rPr>
                <w:rFonts w:ascii="Arial" w:cs="Arial" w:eastAsia="Arial" w:hAnsi="Arial"/>
                <w:sz w:val="16"/>
                <w:szCs w:val="16"/>
                <w:color w:val="auto"/>
              </w:rPr>
              <w:t>8.84</w:t>
            </w:r>
          </w:p>
        </w:tc>
        <w:tc>
          <w:tcPr>
            <w:tcW w:w="1640" w:type="dxa"/>
            <w:vAlign w:val="bottom"/>
          </w:tcPr>
          <w:p>
            <w:pPr>
              <w:jc w:val="right"/>
              <w:ind w:right="226"/>
              <w:spacing w:after="0"/>
              <w:rPr>
                <w:sz w:val="20"/>
                <w:szCs w:val="20"/>
                <w:color w:val="auto"/>
              </w:rPr>
            </w:pPr>
            <w:r>
              <w:rPr>
                <w:rFonts w:ascii="Arial" w:cs="Arial" w:eastAsia="Arial" w:hAnsi="Arial"/>
                <w:sz w:val="16"/>
                <w:szCs w:val="16"/>
                <w:color w:val="auto"/>
              </w:rPr>
              <w:t>3,679,069</w:t>
            </w:r>
          </w:p>
        </w:tc>
      </w:tr>
      <w:tr>
        <w:trPr>
          <w:trHeight w:val="48"/>
        </w:trPr>
        <w:tc>
          <w:tcPr>
            <w:tcW w:w="6120" w:type="dxa"/>
            <w:vAlign w:val="bottom"/>
            <w:tcBorders>
              <w:bottom w:val="single" w:sz="8" w:color="B2B2B2"/>
              <w:right w:val="single" w:sz="8" w:color="B2B2B2"/>
            </w:tcBorders>
          </w:tcPr>
          <w:p>
            <w:pPr>
              <w:spacing w:after="0"/>
              <w:rPr>
                <w:sz w:val="4"/>
                <w:szCs w:val="4"/>
                <w:color w:val="auto"/>
              </w:rPr>
            </w:pPr>
          </w:p>
        </w:tc>
        <w:tc>
          <w:tcPr>
            <w:tcW w:w="1660" w:type="dxa"/>
            <w:vAlign w:val="bottom"/>
            <w:tcBorders>
              <w:bottom w:val="single" w:sz="8" w:color="B2B2B2"/>
              <w:right w:val="single" w:sz="8" w:color="B2B2B2"/>
            </w:tcBorders>
          </w:tcPr>
          <w:p>
            <w:pPr>
              <w:spacing w:after="0"/>
              <w:rPr>
                <w:sz w:val="4"/>
                <w:szCs w:val="4"/>
                <w:color w:val="auto"/>
              </w:rPr>
            </w:pPr>
          </w:p>
        </w:tc>
        <w:tc>
          <w:tcPr>
            <w:tcW w:w="400" w:type="dxa"/>
            <w:vAlign w:val="bottom"/>
            <w:tcBorders>
              <w:bottom w:val="single" w:sz="8" w:color="B2B2B2"/>
            </w:tcBorders>
          </w:tcPr>
          <w:p>
            <w:pPr>
              <w:spacing w:after="0"/>
              <w:rPr>
                <w:sz w:val="4"/>
                <w:szCs w:val="4"/>
                <w:color w:val="auto"/>
              </w:rPr>
            </w:pPr>
          </w:p>
        </w:tc>
        <w:tc>
          <w:tcPr>
            <w:tcW w:w="1200" w:type="dxa"/>
            <w:vAlign w:val="bottom"/>
            <w:tcBorders>
              <w:bottom w:val="single" w:sz="8" w:color="B2B2B2"/>
              <w:right w:val="single" w:sz="8" w:color="B2B2B2"/>
            </w:tcBorders>
          </w:tcPr>
          <w:p>
            <w:pPr>
              <w:spacing w:after="0"/>
              <w:rPr>
                <w:sz w:val="4"/>
                <w:szCs w:val="4"/>
                <w:color w:val="auto"/>
              </w:rPr>
            </w:pPr>
          </w:p>
        </w:tc>
        <w:tc>
          <w:tcPr>
            <w:tcW w:w="1640" w:type="dxa"/>
            <w:vAlign w:val="bottom"/>
            <w:tcBorders>
              <w:bottom w:val="single" w:sz="8" w:color="B2B2B2"/>
            </w:tcBorders>
          </w:tcPr>
          <w:p>
            <w:pPr>
              <w:spacing w:after="0"/>
              <w:rPr>
                <w:sz w:val="4"/>
                <w:szCs w:val="4"/>
                <w:color w:val="auto"/>
              </w:rPr>
            </w:pPr>
          </w:p>
        </w:tc>
      </w:tr>
    </w:tbl>
    <w:p>
      <w:pPr>
        <w:ind w:left="340" w:hanging="224"/>
        <w:spacing w:after="0"/>
        <w:tabs>
          <w:tab w:leader="none" w:pos="3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The weighted-average exercise price relates to outstanding stock options only. The Company’s restricted stock unit awards have no exercise price.</w:t>
      </w:r>
    </w:p>
    <w:p>
      <w:pPr>
        <w:spacing w:after="0" w:line="200" w:lineRule="exact"/>
        <w:rPr>
          <w:rFonts w:ascii="Arial" w:cs="Arial" w:eastAsia="Arial" w:hAnsi="Arial"/>
          <w:sz w:val="14"/>
          <w:szCs w:val="14"/>
          <w:i w:val="1"/>
          <w:iCs w:val="1"/>
          <w:color w:val="auto"/>
        </w:rPr>
      </w:pPr>
    </w:p>
    <w:p>
      <w:pPr>
        <w:spacing w:after="0" w:line="200" w:lineRule="exact"/>
        <w:rPr>
          <w:rFonts w:ascii="Arial" w:cs="Arial" w:eastAsia="Arial" w:hAnsi="Arial"/>
          <w:sz w:val="14"/>
          <w:szCs w:val="14"/>
          <w:i w:val="1"/>
          <w:iCs w:val="1"/>
          <w:color w:val="auto"/>
        </w:rPr>
      </w:pPr>
    </w:p>
    <w:p>
      <w:pPr>
        <w:spacing w:after="0" w:line="234" w:lineRule="exact"/>
        <w:rPr>
          <w:rFonts w:ascii="Arial" w:cs="Arial" w:eastAsia="Arial" w:hAnsi="Arial"/>
          <w:sz w:val="14"/>
          <w:szCs w:val="14"/>
          <w:i w:val="1"/>
          <w:iCs w:val="1"/>
          <w:color w:val="auto"/>
        </w:rPr>
      </w:pPr>
    </w:p>
    <w:p>
      <w:pPr>
        <w:ind w:left="340"/>
        <w:spacing w:after="0"/>
        <w:rPr>
          <w:rFonts w:ascii="Arial" w:cs="Arial" w:eastAsia="Arial" w:hAnsi="Arial"/>
          <w:sz w:val="14"/>
          <w:szCs w:val="14"/>
          <w:i w:val="1"/>
          <w:iCs w:val="1"/>
          <w:color w:val="auto"/>
        </w:rPr>
      </w:pPr>
      <w:r>
        <w:rPr>
          <w:rFonts w:ascii="Arial" w:cs="Arial" w:eastAsia="Arial" w:hAnsi="Arial"/>
          <w:sz w:val="16"/>
          <w:szCs w:val="16"/>
          <w:b w:val="1"/>
          <w:bCs w:val="1"/>
          <w:color w:val="auto"/>
        </w:rPr>
        <w:t>50</w:t>
      </w:r>
      <w:r>
        <w:rPr>
          <w:rFonts w:ascii="Arial" w:cs="Arial" w:eastAsia="Arial" w:hAnsi="Arial"/>
          <w:sz w:val="16"/>
          <w:szCs w:val="16"/>
          <w:color w:val="auto"/>
        </w:rPr>
        <w:t>PROXY STATEMENT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-415925</wp:posOffset>
            </wp:positionV>
            <wp:extent cx="6995160" cy="7029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666666"/>
        </w:rPr>
        <w:t>PROPOSAL NO. 3: RATIFICATION OF APPOINTMENT OF INDEPENDENT REGISTERED PUBLIC ACCOUNTING FIRM FOR 2022</w:t>
      </w:r>
    </w:p>
    <w:p>
      <w:pPr>
        <w:spacing w:after="0" w:line="110" w:lineRule="exact"/>
        <w:rPr>
          <w:sz w:val="20"/>
          <w:szCs w:val="20"/>
          <w:color w:val="auto"/>
        </w:rPr>
      </w:pPr>
    </w:p>
    <w:p>
      <w:pPr>
        <w:jc w:val="both"/>
        <w:ind w:left="120" w:right="600"/>
        <w:spacing w:after="0" w:line="262" w:lineRule="auto"/>
        <w:rPr>
          <w:sz w:val="20"/>
          <w:szCs w:val="20"/>
          <w:color w:val="auto"/>
        </w:rPr>
      </w:pPr>
      <w:r>
        <w:rPr>
          <w:rFonts w:ascii="Times New Roman" w:cs="Times New Roman" w:eastAsia="Times New Roman" w:hAnsi="Times New Roman"/>
          <w:sz w:val="50"/>
          <w:szCs w:val="50"/>
          <w:b w:val="1"/>
          <w:bCs w:val="1"/>
          <w:color w:val="auto"/>
        </w:rPr>
        <w:t>Proposal No. 3—Ratification of Appointment of Independent Registered Public Accounting Firm for 2022</w:t>
      </w:r>
    </w:p>
    <w:p>
      <w:pPr>
        <w:spacing w:after="0" w:line="132" w:lineRule="exact"/>
        <w:rPr>
          <w:sz w:val="20"/>
          <w:szCs w:val="20"/>
          <w:color w:val="auto"/>
        </w:rPr>
      </w:pPr>
    </w:p>
    <w:p>
      <w:pPr>
        <w:ind w:left="120" w:right="80"/>
        <w:spacing w:after="0" w:line="312" w:lineRule="auto"/>
        <w:rPr>
          <w:sz w:val="20"/>
          <w:szCs w:val="20"/>
          <w:color w:val="auto"/>
        </w:rPr>
      </w:pPr>
      <w:r>
        <w:rPr>
          <w:rFonts w:ascii="Arial" w:cs="Arial" w:eastAsia="Arial" w:hAnsi="Arial"/>
          <w:sz w:val="16"/>
          <w:szCs w:val="16"/>
          <w:color w:val="auto"/>
        </w:rPr>
        <w:t>Our Audit Committee has unanimously reappointed Deloitte as the independent registered public accounting firm to audit the Company’s consolidated financial statements and internal control over financial reporting for the year ended December 31, 2022. Although stockholder approval is not required for such appointment, our Audit Committee will take the outcome of the vote on this proposal into consideration when appointing our independent registered public accounting firm in the future.</w:t>
      </w:r>
    </w:p>
    <w:p>
      <w:pPr>
        <w:spacing w:after="0" w:line="177"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Deloitte served as the Company’s independent registered public accounting firm during 2021 and, in that capacity, rendered a report on the Company’s consolidated financial statements as of and for the year ended December 31, 2021. Deloitte has served as the independent auditor of the Company since 2015.</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Support for Recommendation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determining that retaining Deloitte for 2022 was in the best interests of the Company and its stockholders, our Audit Committee reviewed:</w:t>
      </w:r>
    </w:p>
    <w:p>
      <w:pPr>
        <w:spacing w:after="0" w:line="167" w:lineRule="exact"/>
        <w:rPr>
          <w:sz w:val="20"/>
          <w:szCs w:val="20"/>
          <w:color w:val="auto"/>
        </w:rPr>
      </w:pPr>
    </w:p>
    <w:p>
      <w:pPr>
        <w:ind w:left="540" w:right="1000" w:hanging="316"/>
        <w:spacing w:after="0" w:line="32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Deloitte’s performance on the Company’s audit and non-audit work for the year ended December 31, 2021 and recent prior years, and management’s assessment of such performance;</w:t>
      </w:r>
    </w:p>
    <w:p>
      <w:pPr>
        <w:spacing w:after="0" w:line="61" w:lineRule="exact"/>
        <w:rPr>
          <w:rFonts w:ascii="Arial" w:cs="Arial" w:eastAsia="Arial" w:hAnsi="Arial"/>
          <w:sz w:val="16"/>
          <w:szCs w:val="16"/>
          <w:color w:val="auto"/>
        </w:rPr>
      </w:pPr>
    </w:p>
    <w:p>
      <w:pPr>
        <w:ind w:left="540" w:right="320" w:hanging="316"/>
        <w:spacing w:after="0" w:line="32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Deloitte’s qualifications, independence, capabilities and expertise, evident through its audit planning and reports, industry knowledge, resources and staffing, objectivity and professional skepticism;</w:t>
      </w:r>
    </w:p>
    <w:p>
      <w:pPr>
        <w:spacing w:after="0" w:line="61" w:lineRule="exact"/>
        <w:rPr>
          <w:rFonts w:ascii="Arial" w:cs="Arial" w:eastAsia="Arial" w:hAnsi="Arial"/>
          <w:sz w:val="16"/>
          <w:szCs w:val="16"/>
          <w:color w:val="auto"/>
        </w:rPr>
      </w:pPr>
    </w:p>
    <w:p>
      <w:pPr>
        <w:ind w:left="540" w:right="40" w:hanging="316"/>
        <w:spacing w:after="0" w:line="32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External data on audit quality and performance, including results of recent PCAOB reports on Deloitte and peer firms and improvements made from period to period;</w:t>
      </w:r>
    </w:p>
    <w:p>
      <w:pPr>
        <w:spacing w:after="0" w:line="61" w:lineRule="exact"/>
        <w:rPr>
          <w:rFonts w:ascii="Arial" w:cs="Arial" w:eastAsia="Arial" w:hAnsi="Arial"/>
          <w:sz w:val="16"/>
          <w:szCs w:val="16"/>
          <w:color w:val="auto"/>
        </w:rPr>
      </w:pPr>
    </w:p>
    <w:p>
      <w:pPr>
        <w:ind w:left="540" w:right="720" w:hanging="316"/>
        <w:spacing w:after="0" w:line="32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terms of the audit engagement, including the reasonableness of audit and non-audit fees charged taking into account the breadth and complexity of services provided, as well as the efficiency achieved in performing such services;</w:t>
      </w:r>
    </w:p>
    <w:p>
      <w:pPr>
        <w:spacing w:after="0" w:line="61" w:lineRule="exact"/>
        <w:rPr>
          <w:rFonts w:ascii="Arial" w:cs="Arial" w:eastAsia="Arial" w:hAnsi="Arial"/>
          <w:sz w:val="16"/>
          <w:szCs w:val="16"/>
          <w:color w:val="auto"/>
        </w:rPr>
      </w:pPr>
    </w:p>
    <w:p>
      <w:pPr>
        <w:ind w:left="540" w:right="660" w:hanging="316"/>
        <w:spacing w:after="0" w:line="321"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quality of Deloitte’s communications to and interactions with our Audit Committee at meetings and our Audit Committee Chair between meetings; and</w:t>
      </w:r>
    </w:p>
    <w:p>
      <w:pPr>
        <w:spacing w:after="0" w:line="61" w:lineRule="exact"/>
        <w:rPr>
          <w:rFonts w:ascii="Arial" w:cs="Arial" w:eastAsia="Arial" w:hAnsi="Arial"/>
          <w:sz w:val="16"/>
          <w:szCs w:val="16"/>
          <w:color w:val="auto"/>
        </w:rPr>
      </w:pPr>
    </w:p>
    <w:p>
      <w:pPr>
        <w:ind w:left="540" w:hanging="316"/>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benefits of having a long-tenured auditor and the institutional knowledge gained from prior years of engagement.</w:t>
      </w:r>
    </w:p>
    <w:p>
      <w:pPr>
        <w:spacing w:after="0" w:line="248" w:lineRule="exact"/>
        <w:rPr>
          <w:sz w:val="20"/>
          <w:szCs w:val="20"/>
          <w:color w:val="auto"/>
        </w:rPr>
      </w:pPr>
    </w:p>
    <w:p>
      <w:pPr>
        <w:ind w:left="120" w:right="40"/>
        <w:spacing w:after="0" w:line="309" w:lineRule="auto"/>
        <w:rPr>
          <w:sz w:val="20"/>
          <w:szCs w:val="20"/>
          <w:color w:val="auto"/>
        </w:rPr>
      </w:pPr>
      <w:r>
        <w:rPr>
          <w:rFonts w:ascii="Arial" w:cs="Arial" w:eastAsia="Arial" w:hAnsi="Arial"/>
          <w:sz w:val="16"/>
          <w:szCs w:val="16"/>
          <w:color w:val="auto"/>
        </w:rPr>
        <w:t>In accordance with SEC rules, the maximum number of consecutive years of service for lead and concurring review audit partners for public companies is five years. Our lead audit partner has served in such role since 2019, and therefore has two years of service remaining in such capacity. Assuming the continuing engagement of Deloitte as our independent registered public accounting firm, our Audit Committee will pursue a process up to a year in advance in considering potential lead audit partner candidates and will obtain significant input from management and Deloitte, conduct interviews and take other appropriate actions before it approves the new lead engagement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702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51</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PROPOSAL NO. 3—RATIFICATION OF APPOINTMENT OF INDEPENDENT REGISTERED PUBLIC ACCOUNTING FIRM FOR 2022</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Non-Binding Vote</w:t>
      </w:r>
    </w:p>
    <w:p>
      <w:pPr>
        <w:spacing w:after="0" w:line="249" w:lineRule="exact"/>
        <w:rPr>
          <w:sz w:val="20"/>
          <w:szCs w:val="20"/>
          <w:color w:val="auto"/>
        </w:rPr>
      </w:pPr>
    </w:p>
    <w:p>
      <w:pPr>
        <w:ind w:left="120"/>
        <w:spacing w:after="0" w:line="309" w:lineRule="auto"/>
        <w:rPr>
          <w:sz w:val="20"/>
          <w:szCs w:val="20"/>
          <w:color w:val="auto"/>
        </w:rPr>
      </w:pPr>
      <w:r>
        <w:rPr>
          <w:rFonts w:ascii="Arial" w:cs="Arial" w:eastAsia="Arial" w:hAnsi="Arial"/>
          <w:sz w:val="16"/>
          <w:szCs w:val="16"/>
          <w:color w:val="auto"/>
        </w:rPr>
        <w:t>Our Audit Committee is responsible for selecting the Company’s independent registered public accounting firm, and stockholder approval is not required to appoint Deloitte as our independent registered public accounting firm. However, our Audit Committee will take the outcome of the vote on this proposal into consideration when appointing our independent registered public accounting firm in the future. Our Audit Committee may retain another independent registered public accounting firm at any time if it concludes that such change would be in the best interest of the Company’s stockholders, even if the stockholders approve this proposal.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Inquiries of Deloitte &amp; Touche LLP at Annual Meeting</w:t>
      </w:r>
    </w:p>
    <w:p>
      <w:pPr>
        <w:spacing w:after="0" w:line="249" w:lineRule="exact"/>
        <w:rPr>
          <w:sz w:val="20"/>
          <w:szCs w:val="20"/>
          <w:color w:val="auto"/>
        </w:rPr>
      </w:pPr>
    </w:p>
    <w:p>
      <w:pPr>
        <w:ind w:left="120" w:right="60"/>
        <w:spacing w:after="0" w:line="339" w:lineRule="auto"/>
        <w:rPr>
          <w:sz w:val="20"/>
          <w:szCs w:val="20"/>
          <w:color w:val="auto"/>
        </w:rPr>
      </w:pPr>
      <w:r>
        <w:rPr>
          <w:rFonts w:ascii="Arial" w:cs="Arial" w:eastAsia="Arial" w:hAnsi="Arial"/>
          <w:sz w:val="16"/>
          <w:szCs w:val="16"/>
          <w:color w:val="auto"/>
        </w:rPr>
        <w:t>We expect representatives from Deloitte will be present at the 2022 Annual Meeting. They will be available to respond to appropriate questions and may make a statement if they so desire.</w:t>
      </w:r>
    </w:p>
    <w:p>
      <w:pPr>
        <w:spacing w:after="0" w:line="142" w:lineRule="exact"/>
        <w:rPr>
          <w:sz w:val="20"/>
          <w:szCs w:val="20"/>
          <w:color w:val="auto"/>
        </w:rPr>
      </w:pPr>
    </w:p>
    <w:p>
      <w:pPr>
        <w:ind w:left="560" w:right="160"/>
        <w:spacing w:after="0" w:line="339" w:lineRule="auto"/>
        <w:rPr>
          <w:sz w:val="20"/>
          <w:szCs w:val="20"/>
          <w:color w:val="auto"/>
        </w:rPr>
      </w:pPr>
      <w:r>
        <w:rPr>
          <w:rFonts w:ascii="Arial" w:cs="Arial" w:eastAsia="Arial" w:hAnsi="Arial"/>
          <w:sz w:val="16"/>
          <w:szCs w:val="16"/>
          <w:color w:val="auto"/>
        </w:rPr>
        <w:t xml:space="preserve">Our Board unanimously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our Audit Committee’s appointment of Deloitte &amp; Touche LLP as our independent registered public accounting firm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-328930</wp:posOffset>
            </wp:positionV>
            <wp:extent cx="17145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060"/>
          </w:cols>
          <w:pgMar w:left="320" w:top="455"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1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50"/>
          <w:szCs w:val="50"/>
          <w:b w:val="1"/>
          <w:bCs w:val="1"/>
          <w:color w:val="auto"/>
        </w:rPr>
        <w:t>Questions and Answers about the Proxy Materials and 2022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Why Am I Receiving These Materials?</w:t>
      </w:r>
    </w:p>
    <w:p>
      <w:pPr>
        <w:spacing w:after="0" w:line="249" w:lineRule="exact"/>
        <w:rPr>
          <w:sz w:val="20"/>
          <w:szCs w:val="20"/>
          <w:color w:val="auto"/>
        </w:rPr>
      </w:pPr>
    </w:p>
    <w:p>
      <w:pPr>
        <w:ind w:left="120" w:right="180"/>
        <w:spacing w:after="0" w:line="312" w:lineRule="auto"/>
        <w:rPr>
          <w:sz w:val="20"/>
          <w:szCs w:val="20"/>
          <w:color w:val="auto"/>
        </w:rPr>
      </w:pPr>
      <w:r>
        <w:rPr>
          <w:rFonts w:ascii="Arial" w:cs="Arial" w:eastAsia="Arial" w:hAnsi="Arial"/>
          <w:sz w:val="16"/>
          <w:szCs w:val="16"/>
          <w:color w:val="auto"/>
        </w:rPr>
        <w:t>You have received this proxy statement and related materials because at the close of business on the record date, you owned shares of the Company’s common stock and our Board is soliciting your proxy to vote your shares of common stock at the Annual Meeting. The Annual Meeting will be held virtually via live webcast on Wednesday, May 25, 2022, at 10:00 a.m., Pacific Time. To attend the meeting, please register in advance at www.proxydocs.com/NRDS. You will need the control number provided on the Notice of Internet Availability of Proxy Materials.</w:t>
      </w:r>
    </w:p>
    <w:p>
      <w:pPr>
        <w:spacing w:after="0" w:line="177" w:lineRule="exact"/>
        <w:rPr>
          <w:sz w:val="20"/>
          <w:szCs w:val="20"/>
          <w:color w:val="auto"/>
        </w:rPr>
      </w:pPr>
    </w:p>
    <w:p>
      <w:pPr>
        <w:ind w:left="120" w:right="340"/>
        <w:spacing w:after="0" w:line="319" w:lineRule="auto"/>
        <w:rPr>
          <w:sz w:val="20"/>
          <w:szCs w:val="20"/>
          <w:color w:val="auto"/>
        </w:rPr>
      </w:pPr>
      <w:r>
        <w:rPr>
          <w:rFonts w:ascii="Arial" w:cs="Arial" w:eastAsia="Arial" w:hAnsi="Arial"/>
          <w:sz w:val="16"/>
          <w:szCs w:val="16"/>
          <w:color w:val="auto"/>
        </w:rPr>
        <w:t>On the day of the Annual Meeting, May 25, 2022, stockholders may begin to log in to the virtual-only Annual Meeting 15 minutes prior to the Annual Meeting. You do not need to attend the Annual Meeting to vote. Even if you plan to attend the Annual Meeting, please submit your vote in advance as instructed in this proxy statement.</w:t>
      </w:r>
    </w:p>
    <w:p>
      <w:pPr>
        <w:spacing w:after="0" w:line="255" w:lineRule="exact"/>
        <w:rPr>
          <w:sz w:val="20"/>
          <w:szCs w:val="20"/>
          <w:color w:val="auto"/>
        </w:rPr>
      </w:pPr>
    </w:p>
    <w:p>
      <w:pPr>
        <w:ind w:left="120" w:right="460"/>
        <w:spacing w:after="0" w:line="298" w:lineRule="auto"/>
        <w:rPr>
          <w:sz w:val="20"/>
          <w:szCs w:val="20"/>
          <w:color w:val="auto"/>
        </w:rPr>
      </w:pPr>
      <w:r>
        <w:rPr>
          <w:rFonts w:ascii="Arial" w:cs="Arial" w:eastAsia="Arial" w:hAnsi="Arial"/>
          <w:sz w:val="25"/>
          <w:szCs w:val="25"/>
          <w:b w:val="1"/>
          <w:bCs w:val="1"/>
          <w:color w:val="auto"/>
        </w:rPr>
        <w:t>How Will the Virtual Meeting Format Impact Stockholder Viewing and Participation at the 2022 Annual Meeting?</w:t>
      </w:r>
    </w:p>
    <w:p>
      <w:pPr>
        <w:spacing w:after="0" w:line="120" w:lineRule="exact"/>
        <w:rPr>
          <w:sz w:val="20"/>
          <w:szCs w:val="20"/>
          <w:color w:val="auto"/>
        </w:rPr>
      </w:pPr>
    </w:p>
    <w:p>
      <w:pPr>
        <w:ind w:left="120" w:right="100"/>
        <w:spacing w:after="0" w:line="306" w:lineRule="auto"/>
        <w:rPr>
          <w:sz w:val="20"/>
          <w:szCs w:val="20"/>
          <w:color w:val="auto"/>
        </w:rPr>
      </w:pPr>
      <w:r>
        <w:rPr>
          <w:rFonts w:ascii="Arial" w:cs="Arial" w:eastAsia="Arial" w:hAnsi="Arial"/>
          <w:sz w:val="16"/>
          <w:szCs w:val="16"/>
          <w:color w:val="auto"/>
        </w:rPr>
        <w:t>The virtual meeting format for the Annual Meeting will enable participation by our stockholders from anywhere in the world at little to no cost, which we believe enhances stockholder access to the Annual Meeting and communication with management and the Board. We have structured the virtual Annual Meeting to afford stockholders an opportunity to participate as they would in an in-person meeting. In order to attend the Annual Meeting, you must pre-register at www.proxydocs.com/NRDS. Upon completing your registration, you will receive further instructions via email, including a unique link that will allow you access to the Annual Meeting and to vote and submit questions. We will answer any timely submitted and relevant questions on a matter to be voted on at the Annual Meeting before voting is closed on the matter. Following adjournment of the formal business of the Annual Meeting, we will address appropriate questions from stockholders regarding the Company as time allows.</w:t>
      </w:r>
    </w:p>
    <w:p>
      <w:pPr>
        <w:spacing w:after="0" w:line="180" w:lineRule="exact"/>
        <w:rPr>
          <w:sz w:val="20"/>
          <w:szCs w:val="20"/>
          <w:color w:val="auto"/>
        </w:rPr>
      </w:pPr>
    </w:p>
    <w:p>
      <w:pPr>
        <w:ind w:left="120" w:right="100"/>
        <w:spacing w:after="0" w:line="312" w:lineRule="auto"/>
        <w:rPr>
          <w:sz w:val="20"/>
          <w:szCs w:val="20"/>
          <w:color w:val="auto"/>
        </w:rPr>
      </w:pPr>
      <w:r>
        <w:rPr>
          <w:rFonts w:ascii="Arial" w:cs="Arial" w:eastAsia="Arial" w:hAnsi="Arial"/>
          <w:sz w:val="16"/>
          <w:szCs w:val="16"/>
          <w:color w:val="auto"/>
        </w:rPr>
        <w:t xml:space="preserve">The Company requests that stockholders submit questions in advance of the Annual Meeting by sending questions to </w:t>
      </w:r>
      <w:r>
        <w:rPr>
          <w:rFonts w:ascii="Arial" w:cs="Arial" w:eastAsia="Arial" w:hAnsi="Arial"/>
          <w:sz w:val="16"/>
          <w:szCs w:val="16"/>
          <w:u w:val="single" w:color="auto"/>
          <w:color w:val="auto"/>
        </w:rPr>
        <w:t>generalcounsel@nerdwallet.com</w:t>
      </w:r>
      <w:r>
        <w:rPr>
          <w:rFonts w:ascii="Arial" w:cs="Arial" w:eastAsia="Arial" w:hAnsi="Arial"/>
          <w:sz w:val="16"/>
          <w:szCs w:val="16"/>
          <w:color w:val="auto"/>
        </w:rPr>
        <w:t>. During the Annual Meeting, questions relating to stockholder proposals or the Company may be submitted in the field provided on the virtual meeting website at or before the time the questions are to be discussed. If we receive substantially similar questions, we may group those questions together and provide a single response to avoid repetition.</w:t>
      </w:r>
    </w:p>
    <w:p>
      <w:pPr>
        <w:spacing w:after="0" w:line="177" w:lineRule="exact"/>
        <w:rPr>
          <w:sz w:val="20"/>
          <w:szCs w:val="20"/>
          <w:color w:val="auto"/>
        </w:rPr>
      </w:pPr>
    </w:p>
    <w:p>
      <w:pPr>
        <w:jc w:val="both"/>
        <w:ind w:left="120" w:right="180"/>
        <w:spacing w:after="0" w:line="319" w:lineRule="auto"/>
        <w:rPr>
          <w:sz w:val="20"/>
          <w:szCs w:val="20"/>
          <w:color w:val="auto"/>
        </w:rPr>
      </w:pPr>
      <w:r>
        <w:rPr>
          <w:rFonts w:ascii="Arial" w:cs="Arial" w:eastAsia="Arial" w:hAnsi="Arial"/>
          <w:sz w:val="16"/>
          <w:szCs w:val="16"/>
          <w:color w:val="auto"/>
        </w:rPr>
        <w:t xml:space="preserve">While we will try to answer as many appropriate questions as we can during the time allotted for questions during the Annual Meeting, we may not have the time to respond to all questions submitted. If we are unable to answer all questions, stockholders may submit questions after the Annual Meeting to </w:t>
      </w:r>
      <w:r>
        <w:rPr>
          <w:rFonts w:ascii="Arial" w:cs="Arial" w:eastAsia="Arial" w:hAnsi="Arial"/>
          <w:sz w:val="16"/>
          <w:szCs w:val="16"/>
          <w:u w:val="single" w:color="auto"/>
          <w:color w:val="auto"/>
        </w:rPr>
        <w:t>generalcounsel@nerdwallet.com</w:t>
      </w:r>
      <w:r>
        <w:rPr>
          <w:rFonts w:ascii="Arial" w:cs="Arial" w:eastAsia="Arial" w:hAnsi="Arial"/>
          <w:sz w:val="16"/>
          <w:szCs w:val="16"/>
          <w:color w:val="auto"/>
        </w:rPr>
        <w:t>.</w:t>
      </w:r>
    </w:p>
    <w:p>
      <w:pPr>
        <w:spacing w:after="0" w:line="171" w:lineRule="exact"/>
        <w:rPr>
          <w:sz w:val="20"/>
          <w:szCs w:val="20"/>
          <w:color w:val="auto"/>
        </w:rPr>
      </w:pPr>
    </w:p>
    <w:p>
      <w:pPr>
        <w:ind w:left="120" w:right="240"/>
        <w:spacing w:after="0" w:line="319" w:lineRule="auto"/>
        <w:rPr>
          <w:sz w:val="20"/>
          <w:szCs w:val="20"/>
          <w:color w:val="auto"/>
        </w:rPr>
      </w:pPr>
      <w:r>
        <w:rPr>
          <w:rFonts w:ascii="Arial" w:cs="Arial" w:eastAsia="Arial" w:hAnsi="Arial"/>
          <w:sz w:val="16"/>
          <w:szCs w:val="16"/>
          <w:color w:val="auto"/>
        </w:rPr>
        <w:t>Additional information regarding the rules and procedures for how the Company will run the Annual Meeting and stockholder participation in the Annual Meeting will be provided in our meeting rules of conduct, which stockholders can view during the meeting at the virtual meeting website. The rules of conduct are designed to allow us to conduct an orderly meeting in fairness to all stockholders.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What Is A Notice of Internet Availability of Proxy Materials?</w:t>
      </w:r>
    </w:p>
    <w:p>
      <w:pPr>
        <w:spacing w:after="0" w:line="249" w:lineRule="exact"/>
        <w:rPr>
          <w:sz w:val="20"/>
          <w:szCs w:val="20"/>
          <w:color w:val="auto"/>
        </w:rPr>
      </w:pPr>
    </w:p>
    <w:p>
      <w:pPr>
        <w:ind w:left="120" w:right="80"/>
        <w:spacing w:after="0" w:line="339" w:lineRule="auto"/>
        <w:rPr>
          <w:sz w:val="20"/>
          <w:szCs w:val="20"/>
          <w:color w:val="auto"/>
        </w:rPr>
      </w:pPr>
      <w:r>
        <w:rPr>
          <w:rFonts w:ascii="Arial" w:cs="Arial" w:eastAsia="Arial" w:hAnsi="Arial"/>
          <w:sz w:val="16"/>
          <w:szCs w:val="16"/>
          <w:color w:val="auto"/>
        </w:rPr>
        <w:t>We are pleased to take advantage of SEC rules that allow us to furnish our proxy materials, including this Proxy Statement, over the Internet. As a result, we are mailing to most of our stockholders a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67" w:lineRule="exact"/>
        <w:rPr>
          <w:sz w:val="20"/>
          <w:szCs w:val="20"/>
          <w:color w:val="auto"/>
        </w:rPr>
      </w:pPr>
    </w:p>
    <w:p>
      <w:pPr>
        <w:ind w:left="120"/>
        <w:spacing w:after="0" w:line="309" w:lineRule="auto"/>
        <w:rPr>
          <w:sz w:val="20"/>
          <w:szCs w:val="20"/>
          <w:color w:val="auto"/>
        </w:rPr>
      </w:pPr>
      <w:r>
        <w:rPr>
          <w:rFonts w:ascii="Arial" w:cs="Arial" w:eastAsia="Arial" w:hAnsi="Arial"/>
          <w:sz w:val="16"/>
          <w:szCs w:val="16"/>
          <w:color w:val="auto"/>
        </w:rPr>
        <w:t>of Proxy Materials (the “Notice”) instead of a paper copy of the Proxy Materials. The Notice contains instructions on how to access those documents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timely manner, while reducing the environmental impact and lowering the costs of printing and distributing the Proxy Materials.</w:t>
      </w:r>
    </w:p>
    <w:p>
      <w:pPr>
        <w:spacing w:after="0" w:line="179" w:lineRule="exact"/>
        <w:rPr>
          <w:sz w:val="20"/>
          <w:szCs w:val="20"/>
          <w:color w:val="auto"/>
        </w:rPr>
      </w:pPr>
    </w:p>
    <w:p>
      <w:pPr>
        <w:ind w:left="120" w:right="20"/>
        <w:spacing w:after="0" w:line="339" w:lineRule="auto"/>
        <w:rPr>
          <w:sz w:val="20"/>
          <w:szCs w:val="20"/>
          <w:color w:val="auto"/>
        </w:rPr>
      </w:pPr>
      <w:r>
        <w:rPr>
          <w:rFonts w:ascii="Arial" w:cs="Arial" w:eastAsia="Arial" w:hAnsi="Arial"/>
          <w:sz w:val="16"/>
          <w:szCs w:val="16"/>
          <w:color w:val="auto"/>
        </w:rPr>
        <w:t>The Notice of Internet Availability of Proxy Materials only identifies the items to be voted on at the Annual Meeting. You cannot vote by marking the Notice of Internet Availability of Proxy Materials and returning it.</w:t>
      </w:r>
    </w:p>
    <w:p>
      <w:pPr>
        <w:spacing w:after="0" w:line="155" w:lineRule="exact"/>
        <w:rPr>
          <w:sz w:val="20"/>
          <w:szCs w:val="20"/>
          <w:color w:val="auto"/>
        </w:rPr>
      </w:pPr>
    </w:p>
    <w:p>
      <w:pPr>
        <w:ind w:left="120" w:right="20"/>
        <w:spacing w:after="0" w:line="312" w:lineRule="auto"/>
        <w:rPr>
          <w:sz w:val="20"/>
          <w:szCs w:val="20"/>
          <w:color w:val="auto"/>
        </w:rPr>
      </w:pPr>
      <w:r>
        <w:rPr>
          <w:rFonts w:ascii="Arial" w:cs="Arial" w:eastAsia="Arial" w:hAnsi="Arial"/>
          <w:sz w:val="16"/>
          <w:szCs w:val="16"/>
          <w:color w:val="auto"/>
        </w:rPr>
        <w:t>If you hold your shares in street name, the brokerage firm, bank or other holder of record who is considered the stockholder of record will forward a notice that directs beneficial owners of our common stock to the website where they can access our proxy materials to each beneficial stockholder. Such brokerage firm, bank or other holder of record also will provide each beneficial owner with instructions on how to request a paper or e-mail copy of our proxy materials.</w:t>
      </w:r>
    </w:p>
    <w:p>
      <w:pPr>
        <w:spacing w:after="0" w:line="177" w:lineRule="exact"/>
        <w:rPr>
          <w:sz w:val="20"/>
          <w:szCs w:val="20"/>
          <w:color w:val="auto"/>
        </w:rPr>
      </w:pPr>
    </w:p>
    <w:p>
      <w:pPr>
        <w:ind w:left="120" w:right="100"/>
        <w:spacing w:after="0" w:line="339" w:lineRule="auto"/>
        <w:rPr>
          <w:sz w:val="20"/>
          <w:szCs w:val="20"/>
          <w:color w:val="auto"/>
        </w:rPr>
      </w:pPr>
      <w:r>
        <w:rPr>
          <w:rFonts w:ascii="Arial" w:cs="Arial" w:eastAsia="Arial" w:hAnsi="Arial"/>
          <w:sz w:val="16"/>
          <w:szCs w:val="16"/>
          <w:color w:val="auto"/>
        </w:rPr>
        <w:t>This Proxy Statement and our 2021 Annual Report are available at www.proxydocs.com/NRDS</w:t>
      </w:r>
      <w:r>
        <w:rPr>
          <w:rFonts w:ascii="Arial" w:cs="Arial" w:eastAsia="Arial" w:hAnsi="Arial"/>
          <w:sz w:val="16"/>
          <w:szCs w:val="16"/>
          <w:i w:val="1"/>
          <w:iCs w:val="1"/>
          <w:color w:val="auto"/>
        </w:rPr>
        <w:t>.</w:t>
      </w:r>
      <w:r>
        <w:rPr>
          <w:rFonts w:ascii="Arial" w:cs="Arial" w:eastAsia="Arial" w:hAnsi="Arial"/>
          <w:sz w:val="16"/>
          <w:szCs w:val="16"/>
          <w:color w:val="auto"/>
        </w:rPr>
        <w:t xml:space="preserve"> The Notice and the Proxy Materials are first being made available to stockholders on or about April 14, 2022.</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Who Can Vote At The 2022 Annual Meeting?</w:t>
      </w:r>
    </w:p>
    <w:p>
      <w:pPr>
        <w:spacing w:after="0" w:line="249" w:lineRule="exact"/>
        <w:rPr>
          <w:sz w:val="20"/>
          <w:szCs w:val="20"/>
          <w:color w:val="auto"/>
        </w:rPr>
      </w:pPr>
    </w:p>
    <w:p>
      <w:pPr>
        <w:ind w:left="120"/>
        <w:spacing w:after="0" w:line="345" w:lineRule="auto"/>
        <w:rPr>
          <w:sz w:val="20"/>
          <w:szCs w:val="20"/>
          <w:color w:val="auto"/>
        </w:rPr>
      </w:pPr>
      <w:r>
        <w:rPr>
          <w:rFonts w:ascii="Arial" w:cs="Arial" w:eastAsia="Arial" w:hAnsi="Arial"/>
          <w:sz w:val="16"/>
          <w:szCs w:val="16"/>
          <w:color w:val="auto"/>
        </w:rPr>
        <w:t>All stockholders of record of our common stock on the record date and beneficial owners of our common stock on the record date holding a valid proxy for the Annual Meeting from their broker, bank or other nominee giving them the right to vote the shares, are entitled to attend and vote at the Annual Meeting.</w:t>
      </w:r>
    </w:p>
    <w:p>
      <w:pPr>
        <w:spacing w:after="0" w:line="376" w:lineRule="exact"/>
        <w:rPr>
          <w:sz w:val="20"/>
          <w:szCs w:val="20"/>
          <w:color w:val="auto"/>
        </w:rPr>
      </w:pPr>
    </w:p>
    <w:p>
      <w:pPr>
        <w:ind w:left="120" w:right="20"/>
        <w:spacing w:after="0" w:line="309" w:lineRule="auto"/>
        <w:rPr>
          <w:sz w:val="20"/>
          <w:szCs w:val="20"/>
          <w:color w:val="auto"/>
        </w:rPr>
      </w:pPr>
      <w:r>
        <w:rPr>
          <w:rFonts w:ascii="Arial" w:cs="Arial" w:eastAsia="Arial" w:hAnsi="Arial"/>
          <w:sz w:val="16"/>
          <w:szCs w:val="16"/>
          <w:color w:val="auto"/>
        </w:rPr>
        <w:t>Each holder of Class B common stock is entitled to 10 votes per share and each holder of Class A common stock is entitled to one vote per share on all matters submitted to our stockholders for a vote. All classes of our common stock with voting rights will vote together as a single class on all matters described in this proxy statement. As of the record date, there were 67,089,043 shares of common stock outstanding, consisting of 35,403,391 shares of Class A common stock and 31,685,652 shares of Class B common stock. As of the record date, all of our outstanding Class B common stock was held by Tim Chen and his affiliated trusts.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What Votes Need To Be Present To Hold The 2022 Annual Meeting?</w:t>
      </w:r>
    </w:p>
    <w:p>
      <w:pPr>
        <w:spacing w:after="0" w:line="249" w:lineRule="exact"/>
        <w:rPr>
          <w:sz w:val="20"/>
          <w:szCs w:val="20"/>
          <w:color w:val="auto"/>
        </w:rPr>
      </w:pPr>
    </w:p>
    <w:p>
      <w:pPr>
        <w:ind w:left="120" w:right="100"/>
        <w:spacing w:after="0" w:line="309" w:lineRule="auto"/>
        <w:rPr>
          <w:sz w:val="20"/>
          <w:szCs w:val="20"/>
          <w:color w:val="auto"/>
        </w:rPr>
      </w:pPr>
      <w:r>
        <w:rPr>
          <w:rFonts w:ascii="Arial" w:cs="Arial" w:eastAsia="Arial" w:hAnsi="Arial"/>
          <w:sz w:val="16"/>
          <w:szCs w:val="16"/>
          <w:color w:val="auto"/>
        </w:rPr>
        <w:t>Holders of a majority of the voting power of all shares of common stock outstanding on the record date and entitled to vote at the meeting must be present at the Annual Meeting, by remote communication or represented by proxy, to constitute a quorum for the transaction of any business. Proxies marked with abstentions or instructions to withhold votes, as well as broker non-votes (defined below), will be counted as present in determining whether or not there is a quorum. In the absence of a quorum, the holders of a majority of the voting power of the shares of stock present at the meeting may adjourn or postpone such meeting to another time or place.</w:t>
      </w:r>
    </w:p>
    <w:p>
      <w:pPr>
        <w:spacing w:after="0" w:line="263" w:lineRule="exact"/>
        <w:rPr>
          <w:sz w:val="20"/>
          <w:szCs w:val="20"/>
          <w:color w:val="auto"/>
        </w:rPr>
      </w:pPr>
    </w:p>
    <w:p>
      <w:pPr>
        <w:ind w:left="120" w:right="560"/>
        <w:spacing w:after="0" w:line="298" w:lineRule="auto"/>
        <w:rPr>
          <w:sz w:val="20"/>
          <w:szCs w:val="20"/>
          <w:color w:val="auto"/>
        </w:rPr>
      </w:pPr>
      <w:r>
        <w:rPr>
          <w:rFonts w:ascii="Arial" w:cs="Arial" w:eastAsia="Arial" w:hAnsi="Arial"/>
          <w:sz w:val="25"/>
          <w:szCs w:val="25"/>
          <w:b w:val="1"/>
          <w:bCs w:val="1"/>
          <w:color w:val="auto"/>
        </w:rPr>
        <w:t>What Is The Difference Between Holding Shares of Common Stock As A Stockholder of Record and As A Beneficial Owner?</w:t>
      </w:r>
    </w:p>
    <w:p>
      <w:pPr>
        <w:spacing w:after="0" w:line="120" w:lineRule="exact"/>
        <w:rPr>
          <w:sz w:val="20"/>
          <w:szCs w:val="20"/>
          <w:color w:val="auto"/>
        </w:rPr>
      </w:pPr>
    </w:p>
    <w:p>
      <w:pPr>
        <w:ind w:left="120" w:right="120"/>
        <w:spacing w:after="0" w:line="339" w:lineRule="auto"/>
        <w:rPr>
          <w:sz w:val="20"/>
          <w:szCs w:val="20"/>
          <w:color w:val="auto"/>
        </w:rPr>
      </w:pPr>
      <w:r>
        <w:rPr>
          <w:rFonts w:ascii="Arial" w:cs="Arial" w:eastAsia="Arial" w:hAnsi="Arial"/>
          <w:sz w:val="16"/>
          <w:szCs w:val="16"/>
          <w:color w:val="auto"/>
        </w:rPr>
        <w:t>If your shares of common stock are registered directly in your name with the Company’s transfer agent, Broadridge, you are considered the “stockholder of record” with respect to those shares and the Notice of Internet Availability of Proxy Materials was sent directly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67" w:lineRule="exact"/>
        <w:rPr>
          <w:sz w:val="20"/>
          <w:szCs w:val="20"/>
          <w:color w:val="auto"/>
        </w:rPr>
      </w:pPr>
    </w:p>
    <w:p>
      <w:pPr>
        <w:ind w:left="120" w:right="300"/>
        <w:spacing w:after="0" w:line="309" w:lineRule="auto"/>
        <w:rPr>
          <w:sz w:val="20"/>
          <w:szCs w:val="20"/>
          <w:color w:val="auto"/>
        </w:rPr>
      </w:pPr>
      <w:r>
        <w:rPr>
          <w:rFonts w:ascii="Arial" w:cs="Arial" w:eastAsia="Arial" w:hAnsi="Arial"/>
          <w:sz w:val="16"/>
          <w:szCs w:val="16"/>
          <w:color w:val="auto"/>
        </w:rPr>
        <w:t>If your shares of common stock are held with a broker, bank or other nominee, you are considered the “beneficial owner” with respect to those shares. Your broker, bank or other holder of record who is considered the stockholder of record with respect to those shares has forwarded to you a notice directing you to the website where you can access our proxy materials. As the beneficial owner, you have the right to direct your broker, bank or other nominee on how to vote your shares. Your broker, bank or nominee has enclosed voting instructions for you to use in directing the broker, bank or nominee on how to vote your shares.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How Do I Vote If I Am A Stockholder of Record?</w:t>
      </w:r>
    </w:p>
    <w:p>
      <w:pPr>
        <w:spacing w:after="0" w:line="249" w:lineRule="exact"/>
        <w:rPr>
          <w:sz w:val="20"/>
          <w:szCs w:val="20"/>
          <w:color w:val="auto"/>
        </w:rPr>
      </w:pPr>
    </w:p>
    <w:p>
      <w:pPr>
        <w:ind w:left="120" w:right="180"/>
        <w:spacing w:after="0" w:line="312" w:lineRule="auto"/>
        <w:rPr>
          <w:sz w:val="20"/>
          <w:szCs w:val="20"/>
          <w:color w:val="auto"/>
        </w:rPr>
      </w:pPr>
      <w:r>
        <w:rPr>
          <w:rFonts w:ascii="Arial" w:cs="Arial" w:eastAsia="Arial" w:hAnsi="Arial"/>
          <w:sz w:val="16"/>
          <w:szCs w:val="16"/>
          <w:color w:val="auto"/>
        </w:rPr>
        <w:t>If you hold your shares in your own name as a holder of record with our transfer agent, Broadridge, you may vote your shares using one of the following methods (please also see the information provided above and below concerning the difference in how to vote if you hold shares beneficially through a brokerage firm, bank or other nominee instead of as the registered holder – beneficial holders should follow the voting instructions provided by their respective nominees):</w:t>
      </w:r>
    </w:p>
    <w:p>
      <w:pPr>
        <w:sectPr>
          <w:pgSz w:w="11900" w:h="16838" w:orient="portrait"/>
          <w:cols w:equalWidth="0" w:num="1">
            <w:col w:w="11140"/>
          </w:cols>
          <w:pgMar w:left="320" w:top="455" w:right="439" w:bottom="1440" w:gutter="0" w:footer="0" w:header="0"/>
        </w:sectPr>
      </w:pPr>
    </w:p>
    <w:p>
      <w:pPr>
        <w:spacing w:after="0" w:line="204" w:lineRule="exact"/>
        <w:rPr>
          <w:sz w:val="20"/>
          <w:szCs w:val="20"/>
          <w:color w:val="auto"/>
        </w:rPr>
      </w:pPr>
    </w:p>
    <w:p>
      <w:pPr>
        <w:ind w:left="120"/>
        <w:spacing w:after="0" w:line="389" w:lineRule="auto"/>
        <w:rPr>
          <w:sz w:val="20"/>
          <w:szCs w:val="20"/>
          <w:color w:val="auto"/>
        </w:rPr>
      </w:pPr>
      <w:r>
        <w:rPr>
          <w:rFonts w:ascii="Arial" w:cs="Arial" w:eastAsia="Arial" w:hAnsi="Arial"/>
          <w:sz w:val="15"/>
          <w:szCs w:val="15"/>
          <w:b w:val="1"/>
          <w:bCs w:val="1"/>
          <w:color w:val="auto"/>
        </w:rPr>
        <w:t>By Internet By Telephone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Mail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In Person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(Virtual)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If you received the Notice or a printed copy of the Proxy Materials, follow the instructions in the Notice or on the proxy card.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you received a printed copy of the Proxy Materials, follow the instructions on the proxy card.</w:t>
      </w:r>
    </w:p>
    <w:p>
      <w:pPr>
        <w:spacing w:after="0" w:line="4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If you received a printed copy of the Proxy Materials, complete, sign, date, and mail your proxy card in the enclosed, postage-prepaid envelope.</w:t>
      </w:r>
    </w:p>
    <w:p>
      <w:pPr>
        <w:spacing w:after="0" w:line="1" w:lineRule="exact"/>
        <w:rPr>
          <w:sz w:val="20"/>
          <w:szCs w:val="20"/>
          <w:color w:val="auto"/>
        </w:rPr>
      </w:pPr>
    </w:p>
    <w:p>
      <w:pPr>
        <w:ind w:right="100"/>
        <w:spacing w:after="0" w:line="319" w:lineRule="auto"/>
        <w:rPr>
          <w:sz w:val="20"/>
          <w:szCs w:val="20"/>
          <w:color w:val="auto"/>
        </w:rPr>
      </w:pPr>
      <w:r>
        <w:rPr>
          <w:rFonts w:ascii="Arial" w:cs="Arial" w:eastAsia="Arial" w:hAnsi="Arial"/>
          <w:sz w:val="16"/>
          <w:szCs w:val="16"/>
          <w:color w:val="auto"/>
        </w:rPr>
        <w:t>You may also vote in person virtually by attending the meeting through www.proxydocs.com/NRDS. To attend the Annual Meeting and vote your shares, you must register in advance for the Annual Meeting and provide the control number located on your Notice or proxy card.</w:t>
      </w:r>
    </w:p>
    <w:p>
      <w:pPr>
        <w:spacing w:after="0" w:line="171" w:lineRule="exact"/>
        <w:rPr>
          <w:sz w:val="20"/>
          <w:szCs w:val="20"/>
          <w:color w:val="auto"/>
        </w:rPr>
      </w:pPr>
    </w:p>
    <w:p>
      <w:pPr>
        <w:sectPr>
          <w:pgSz w:w="11900" w:h="16838" w:orient="portrait"/>
          <w:cols w:equalWidth="0" w:num="2">
            <w:col w:w="1160" w:space="400"/>
            <w:col w:w="9580"/>
          </w:cols>
          <w:pgMar w:left="320" w:top="455" w:right="439" w:bottom="1440" w:gutter="0" w:footer="0" w:header="0"/>
          <w:type w:val="continuous"/>
        </w:sectPr>
      </w:pPr>
    </w:p>
    <w:p>
      <w:pPr>
        <w:ind w:left="120" w:right="140"/>
        <w:spacing w:after="0" w:line="339" w:lineRule="auto"/>
        <w:rPr>
          <w:sz w:val="20"/>
          <w:szCs w:val="20"/>
          <w:color w:val="auto"/>
        </w:rPr>
      </w:pPr>
      <w:r>
        <w:rPr>
          <w:rFonts w:ascii="Arial" w:cs="Arial" w:eastAsia="Arial" w:hAnsi="Arial"/>
          <w:sz w:val="16"/>
          <w:szCs w:val="16"/>
          <w:color w:val="auto"/>
        </w:rPr>
        <w:t>You may hold company shares in multiple accounts and therefore receive more than one set of the Proxy Materials. To ensure that all of your shares are voted, please submit your proxy or voting instructions for each account for which you have received a set of the Proxy Materials.</w:t>
      </w:r>
    </w:p>
    <w:p>
      <w:pPr>
        <w:spacing w:after="0" w:line="155" w:lineRule="exact"/>
        <w:rPr>
          <w:sz w:val="20"/>
          <w:szCs w:val="20"/>
          <w:color w:val="auto"/>
        </w:rPr>
      </w:pPr>
    </w:p>
    <w:p>
      <w:pPr>
        <w:jc w:val="both"/>
        <w:ind w:left="120" w:right="440"/>
        <w:spacing w:after="0" w:line="349" w:lineRule="auto"/>
        <w:rPr>
          <w:sz w:val="20"/>
          <w:szCs w:val="20"/>
          <w:color w:val="auto"/>
        </w:rPr>
      </w:pPr>
      <w:r>
        <w:rPr>
          <w:rFonts w:ascii="Arial" w:cs="Arial" w:eastAsia="Arial" w:hAnsi="Arial"/>
          <w:sz w:val="16"/>
          <w:szCs w:val="16"/>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40" w:lineRule="exact"/>
        <w:rPr>
          <w:sz w:val="20"/>
          <w:szCs w:val="20"/>
          <w:color w:val="auto"/>
        </w:rPr>
      </w:pPr>
    </w:p>
    <w:p>
      <w:pPr>
        <w:ind w:left="120" w:right="180"/>
        <w:spacing w:after="0" w:line="319" w:lineRule="auto"/>
        <w:rPr>
          <w:sz w:val="20"/>
          <w:szCs w:val="20"/>
          <w:color w:val="auto"/>
        </w:rPr>
      </w:pPr>
      <w:r>
        <w:rPr>
          <w:rFonts w:ascii="Arial" w:cs="Arial" w:eastAsia="Arial" w:hAnsi="Arial"/>
          <w:sz w:val="16"/>
          <w:szCs w:val="16"/>
          <w:b w:val="1"/>
          <w:bCs w:val="1"/>
          <w:color w:val="auto"/>
        </w:rPr>
        <w:t xml:space="preserve">During The Annual Meeting. </w:t>
      </w:r>
      <w:r>
        <w:rPr>
          <w:rFonts w:ascii="Arial" w:cs="Arial" w:eastAsia="Arial" w:hAnsi="Arial"/>
          <w:sz w:val="16"/>
          <w:szCs w:val="16"/>
          <w:color w:val="auto"/>
        </w:rPr>
        <w:t>Stockholders of record may attend the Annual Meeting via the Internet and vote electronically during the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Have available the information that is printed in the box provided in your Notice of Internet Availability of Proxy Materials or your proxy card (if you requested a printed copy of the proxy materials) in hand when you access the website and follow the instructions to vote.</w:t>
      </w:r>
    </w:p>
    <w:p>
      <w:pPr>
        <w:spacing w:after="0" w:line="171" w:lineRule="exact"/>
        <w:rPr>
          <w:sz w:val="20"/>
          <w:szCs w:val="20"/>
          <w:color w:val="auto"/>
        </w:rPr>
      </w:pPr>
    </w:p>
    <w:p>
      <w:pPr>
        <w:ind w:left="120" w:right="20"/>
        <w:spacing w:after="0" w:line="324" w:lineRule="auto"/>
        <w:rPr>
          <w:sz w:val="20"/>
          <w:szCs w:val="20"/>
          <w:color w:val="auto"/>
        </w:rPr>
      </w:pPr>
      <w:r>
        <w:rPr>
          <w:rFonts w:ascii="Arial" w:cs="Arial" w:eastAsia="Arial" w:hAnsi="Arial"/>
          <w:sz w:val="16"/>
          <w:szCs w:val="16"/>
          <w:color w:val="auto"/>
        </w:rPr>
        <w:t xml:space="preserve">If, prior to the Annual Meeting, you vote over the Internet or by telephone, your electronic vote authorizes the named proxies in the same manner as if you signed, dated and returned a proxy card. </w:t>
      </w:r>
      <w:r>
        <w:rPr>
          <w:rFonts w:ascii="Arial" w:cs="Arial" w:eastAsia="Arial" w:hAnsi="Arial"/>
          <w:sz w:val="16"/>
          <w:szCs w:val="16"/>
          <w:b w:val="1"/>
          <w:bCs w:val="1"/>
          <w:color w:val="auto"/>
        </w:rPr>
        <w:t>If, prior to the Annual Meeting, you vote over the Internet or by telephone, do not return a proxy card or</w:t>
      </w:r>
      <w:r>
        <w:rPr>
          <w:rFonts w:ascii="Arial" w:cs="Arial" w:eastAsia="Arial" w:hAnsi="Arial"/>
          <w:sz w:val="16"/>
          <w:szCs w:val="16"/>
          <w:color w:val="auto"/>
        </w:rPr>
        <w:t xml:space="preserve"> </w:t>
      </w:r>
      <w:r>
        <w:rPr>
          <w:rFonts w:ascii="Arial" w:cs="Arial" w:eastAsia="Arial" w:hAnsi="Arial"/>
          <w:sz w:val="16"/>
          <w:szCs w:val="16"/>
          <w:b w:val="1"/>
          <w:bCs w:val="1"/>
          <w:color w:val="auto"/>
        </w:rPr>
        <w:t>vote at the Annual Meeting unless you intend to revoke your previously submitted proxy.</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How Do I Vote If I Am a Beneficial Owner?</w:t>
      </w:r>
    </w:p>
    <w:p>
      <w:pPr>
        <w:spacing w:after="0" w:line="249" w:lineRule="exact"/>
        <w:rPr>
          <w:sz w:val="20"/>
          <w:szCs w:val="20"/>
          <w:color w:val="auto"/>
        </w:rPr>
      </w:pPr>
    </w:p>
    <w:p>
      <w:pPr>
        <w:ind w:left="120" w:right="180"/>
        <w:spacing w:after="0" w:line="319" w:lineRule="auto"/>
        <w:rPr>
          <w:sz w:val="20"/>
          <w:szCs w:val="20"/>
          <w:color w:val="auto"/>
        </w:rPr>
      </w:pPr>
      <w:r>
        <w:rPr>
          <w:rFonts w:ascii="Arial" w:cs="Arial" w:eastAsia="Arial" w:hAnsi="Arial"/>
          <w:sz w:val="16"/>
          <w:szCs w:val="16"/>
          <w:color w:val="auto"/>
        </w:rPr>
        <w:t>If you hold your shares through a broker, bank or other nominee (that is, in street name), you will receive instructions from your broker, bank or nominee that you must follow in order to submit your voting instructions and have your shares voted at the Annual Meeting. As a beneficial owner, you have the right to direct your broker, bank or other nominee how to vote your shares by following the instructions that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55</w:t>
      </w:r>
    </w:p>
    <w:p>
      <w:pPr>
        <w:sectPr>
          <w:pgSz w:w="11900" w:h="16838" w:orient="portrait"/>
          <w:cols w:equalWidth="0" w:num="1">
            <w:col w:w="11140"/>
          </w:cols>
          <w:pgMar w:left="320" w:top="455" w:right="4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67"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color w:val="auto"/>
        </w:rPr>
        <w:t>sent to you. You will receive voting instructions for each account that you have with a broker, bank or other nominee. Please instruct your broker, bank or other nominee how to vote your shares using the voting instruction card you received from them. If your broker, bank or other nominee permits you to provide voting instructions via the Internet or by telephone, you may vote that way as well. As a beneficial owner, if you wish to change the directions that you have provided to your broker, bank or other nominee, you should follow the instructions that your broker, bank or other nominee sent to you.</w:t>
      </w:r>
    </w:p>
    <w:p>
      <w:pPr>
        <w:spacing w:after="0" w:line="177" w:lineRule="exact"/>
        <w:rPr>
          <w:sz w:val="20"/>
          <w:szCs w:val="20"/>
          <w:color w:val="auto"/>
        </w:rPr>
      </w:pPr>
    </w:p>
    <w:p>
      <w:pPr>
        <w:ind w:left="120"/>
        <w:spacing w:after="0" w:line="307" w:lineRule="auto"/>
        <w:rPr>
          <w:sz w:val="20"/>
          <w:szCs w:val="20"/>
          <w:color w:val="auto"/>
        </w:rPr>
      </w:pPr>
      <w:r>
        <w:rPr>
          <w:rFonts w:ascii="Arial" w:cs="Arial" w:eastAsia="Arial" w:hAnsi="Arial"/>
          <w:sz w:val="16"/>
          <w:szCs w:val="16"/>
          <w:color w:val="auto"/>
        </w:rPr>
        <w:t>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Deloitte &amp; Touche LLP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non-votes.” Therefore, it is very important for you to vote your shares for each proposal.</w:t>
      </w:r>
    </w:p>
    <w:p>
      <w:pPr>
        <w:spacing w:after="0" w:line="181" w:lineRule="exact"/>
        <w:rPr>
          <w:sz w:val="20"/>
          <w:szCs w:val="20"/>
          <w:color w:val="auto"/>
        </w:rPr>
      </w:pPr>
    </w:p>
    <w:p>
      <w:pPr>
        <w:jc w:val="both"/>
        <w:ind w:left="120" w:right="40"/>
        <w:spacing w:after="0" w:line="319" w:lineRule="auto"/>
        <w:rPr>
          <w:sz w:val="20"/>
          <w:szCs w:val="20"/>
          <w:color w:val="auto"/>
        </w:rPr>
      </w:pPr>
      <w:r>
        <w:rPr>
          <w:rFonts w:ascii="Arial" w:cs="Arial" w:eastAsia="Arial" w:hAnsi="Arial"/>
          <w:sz w:val="16"/>
          <w:szCs w:val="16"/>
          <w:color w:val="auto"/>
        </w:rPr>
        <w:t>If you want to vote in person virtually at the Annual Meeting, you must register in advance at www.proxydocs.com/NRDS. You may be instructed to obtain a legal proxy from your broker, bank or other nominee and to submit a copy in advance of the meeting. Further instructions will be provided to you as part of your registration process.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What Can I Do If I Change My Mind After I Vote?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are a stockholder of record, you may change your voting instructions and revoke your proxy before it is exercised by doing any one of the following:</w:t>
      </w:r>
    </w:p>
    <w:p>
      <w:pPr>
        <w:spacing w:after="0" w:line="153" w:lineRule="exact"/>
        <w:rPr>
          <w:sz w:val="20"/>
          <w:szCs w:val="20"/>
          <w:color w:val="auto"/>
        </w:rPr>
      </w:pPr>
    </w:p>
    <w:p>
      <w:pPr>
        <w:ind w:left="540" w:hanging="316"/>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Timely written notice of revocation to our General Counsel and Corporate Secretary at 55 Hawthorne Street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San Francisco, CA 94105.</w:t>
      </w:r>
    </w:p>
    <w:p>
      <w:pPr>
        <w:spacing w:after="0" w:line="57" w:lineRule="exact"/>
        <w:rPr>
          <w:rFonts w:ascii="Arial" w:cs="Arial" w:eastAsia="Arial" w:hAnsi="Arial"/>
          <w:sz w:val="16"/>
          <w:szCs w:val="16"/>
          <w:color w:val="auto"/>
        </w:rPr>
      </w:pPr>
    </w:p>
    <w:p>
      <w:pPr>
        <w:ind w:left="540" w:hanging="316"/>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timely later-dated vote by telephone or on the Internet or timely delivery of a valid, later-dated proxy.</w:t>
      </w:r>
    </w:p>
    <w:p>
      <w:pPr>
        <w:spacing w:after="0" w:line="137" w:lineRule="exact"/>
        <w:rPr>
          <w:rFonts w:ascii="Arial" w:cs="Arial" w:eastAsia="Arial" w:hAnsi="Arial"/>
          <w:sz w:val="16"/>
          <w:szCs w:val="16"/>
          <w:color w:val="auto"/>
        </w:rPr>
      </w:pPr>
    </w:p>
    <w:p>
      <w:pPr>
        <w:ind w:left="540" w:hanging="316"/>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Participating in the Annual Meeting live via the Internet and voting again.</w:t>
      </w:r>
    </w:p>
    <w:p>
      <w:pPr>
        <w:spacing w:after="0" w:line="248" w:lineRule="exact"/>
        <w:rPr>
          <w:sz w:val="20"/>
          <w:szCs w:val="20"/>
          <w:color w:val="auto"/>
        </w:rPr>
      </w:pPr>
    </w:p>
    <w:p>
      <w:pPr>
        <w:ind w:left="120" w:right="320"/>
        <w:spacing w:after="0" w:line="339" w:lineRule="auto"/>
        <w:rPr>
          <w:sz w:val="20"/>
          <w:szCs w:val="20"/>
          <w:color w:val="auto"/>
        </w:rPr>
      </w:pPr>
      <w:r>
        <w:rPr>
          <w:rFonts w:ascii="Arial" w:cs="Arial" w:eastAsia="Arial" w:hAnsi="Arial"/>
          <w:sz w:val="16"/>
          <w:szCs w:val="16"/>
          <w:color w:val="auto"/>
        </w:rPr>
        <w:t>Only the latest validly executed proxy that you submit will be counted. Your attendance at the Annual Meeting in person will not cause your previously granted proxy to be revoked unless you vote in person.</w:t>
      </w:r>
    </w:p>
    <w:p>
      <w:pPr>
        <w:spacing w:after="0" w:line="155" w:lineRule="exact"/>
        <w:rPr>
          <w:sz w:val="20"/>
          <w:szCs w:val="20"/>
          <w:color w:val="auto"/>
        </w:rPr>
      </w:pPr>
    </w:p>
    <w:p>
      <w:pPr>
        <w:ind w:left="120" w:right="100"/>
        <w:spacing w:after="0" w:line="339" w:lineRule="auto"/>
        <w:rPr>
          <w:sz w:val="20"/>
          <w:szCs w:val="20"/>
          <w:color w:val="auto"/>
        </w:rPr>
      </w:pPr>
      <w:r>
        <w:rPr>
          <w:rFonts w:ascii="Arial" w:cs="Arial" w:eastAsia="Arial" w:hAnsi="Arial"/>
          <w:sz w:val="16"/>
          <w:szCs w:val="16"/>
          <w:color w:val="auto"/>
        </w:rPr>
        <w:t>If you are a beneficial owner of shares but not the stockholder of record, you may submit new voting instructions by contacting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80" w:hanging="741"/>
        <w:spacing w:after="0"/>
        <w:tabs>
          <w:tab w:leader="none" w:pos="1080"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43" w:lineRule="exact"/>
        <w:rPr>
          <w:sz w:val="20"/>
          <w:szCs w:val="20"/>
          <w:color w:val="auto"/>
        </w:rPr>
      </w:pPr>
    </w:p>
    <w:p>
      <w:pPr>
        <w:ind w:left="120" w:right="220"/>
        <w:spacing w:after="0" w:line="298" w:lineRule="auto"/>
        <w:rPr>
          <w:sz w:val="20"/>
          <w:szCs w:val="20"/>
          <w:color w:val="auto"/>
        </w:rPr>
      </w:pPr>
      <w:r>
        <w:rPr>
          <w:rFonts w:ascii="Arial" w:cs="Arial" w:eastAsia="Arial" w:hAnsi="Arial"/>
          <w:sz w:val="25"/>
          <w:szCs w:val="25"/>
          <w:b w:val="1"/>
          <w:bCs w:val="1"/>
          <w:color w:val="auto"/>
        </w:rPr>
        <w:t>What items of business will be voted on at the 2022 Annual Meeting and what is the voting recommendation for each?</w:t>
      </w:r>
    </w:p>
    <w:p>
      <w:pPr>
        <w:spacing w:after="0" w:line="120" w:lineRule="exact"/>
        <w:rPr>
          <w:sz w:val="20"/>
          <w:szCs w:val="20"/>
          <w:color w:val="auto"/>
        </w:rPr>
      </w:pPr>
    </w:p>
    <w:p>
      <w:pPr>
        <w:ind w:left="120" w:right="60"/>
        <w:spacing w:after="0" w:line="339" w:lineRule="auto"/>
        <w:rPr>
          <w:sz w:val="20"/>
          <w:szCs w:val="20"/>
          <w:color w:val="auto"/>
        </w:rPr>
      </w:pPr>
      <w:r>
        <w:rPr>
          <w:rFonts w:ascii="Arial" w:cs="Arial" w:eastAsia="Arial" w:hAnsi="Arial"/>
          <w:sz w:val="16"/>
          <w:szCs w:val="16"/>
          <w:color w:val="auto"/>
        </w:rPr>
        <w:t>The table below details information regarding the proposals to be voted on at the 2022 Annual Meeting and the Board’s recommendations on how to vote on each proposal, and the effect of abstentions and broker-non-votes.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40" w:type="dxa"/>
            <w:vAlign w:val="bottom"/>
            <w:tcBorders>
              <w:top w:val="single" w:sz="8" w:color="60BAFF"/>
            </w:tcBorders>
          </w:tcPr>
          <w:p>
            <w:pPr>
              <w:spacing w:after="0"/>
              <w:rPr>
                <w:sz w:val="22"/>
                <w:szCs w:val="22"/>
                <w:color w:val="auto"/>
              </w:rPr>
            </w:pPr>
          </w:p>
        </w:tc>
        <w:tc>
          <w:tcPr>
            <w:tcW w:w="3620" w:type="dxa"/>
            <w:vAlign w:val="bottom"/>
            <w:tcBorders>
              <w:top w:val="single" w:sz="8" w:color="60BAFF"/>
              <w:right w:val="single" w:sz="8" w:color="B2B2B2"/>
            </w:tcBorders>
          </w:tcPr>
          <w:p>
            <w:pPr>
              <w:ind w:left="80"/>
              <w:spacing w:after="0"/>
              <w:rPr>
                <w:sz w:val="20"/>
                <w:szCs w:val="20"/>
                <w:color w:val="auto"/>
              </w:rPr>
            </w:pPr>
            <w:r>
              <w:rPr>
                <w:rFonts w:ascii="Arial" w:cs="Arial" w:eastAsia="Arial" w:hAnsi="Arial"/>
                <w:sz w:val="14"/>
                <w:szCs w:val="14"/>
                <w:b w:val="1"/>
                <w:bCs w:val="1"/>
                <w:color w:val="60BAFF"/>
              </w:rPr>
              <w:t>Proposal</w:t>
            </w:r>
          </w:p>
        </w:tc>
        <w:tc>
          <w:tcPr>
            <w:tcW w:w="3640" w:type="dxa"/>
            <w:vAlign w:val="bottom"/>
            <w:tcBorders>
              <w:top w:val="single" w:sz="8" w:color="60BAFF"/>
              <w:right w:val="single" w:sz="8" w:color="B2B2B2"/>
            </w:tcBorders>
          </w:tcPr>
          <w:p>
            <w:pPr>
              <w:ind w:left="160"/>
              <w:spacing w:after="0"/>
              <w:rPr>
                <w:sz w:val="20"/>
                <w:szCs w:val="20"/>
                <w:color w:val="auto"/>
              </w:rPr>
            </w:pPr>
            <w:r>
              <w:rPr>
                <w:rFonts w:ascii="Arial" w:cs="Arial" w:eastAsia="Arial" w:hAnsi="Arial"/>
                <w:sz w:val="14"/>
                <w:szCs w:val="14"/>
                <w:b w:val="1"/>
                <w:bCs w:val="1"/>
                <w:color w:val="60BAFF"/>
              </w:rPr>
              <w:t>Voting Options</w:t>
            </w:r>
          </w:p>
        </w:tc>
        <w:tc>
          <w:tcPr>
            <w:tcW w:w="3620" w:type="dxa"/>
            <w:vAlign w:val="bottom"/>
            <w:tcBorders>
              <w:top w:val="single" w:sz="8" w:color="60BAFF"/>
            </w:tcBorders>
          </w:tcPr>
          <w:p>
            <w:pPr>
              <w:ind w:left="160"/>
              <w:spacing w:after="0"/>
              <w:rPr>
                <w:sz w:val="20"/>
                <w:szCs w:val="20"/>
                <w:color w:val="auto"/>
              </w:rPr>
            </w:pPr>
            <w:r>
              <w:rPr>
                <w:rFonts w:ascii="Arial" w:cs="Arial" w:eastAsia="Arial" w:hAnsi="Arial"/>
                <w:sz w:val="14"/>
                <w:szCs w:val="14"/>
                <w:b w:val="1"/>
                <w:bCs w:val="1"/>
                <w:color w:val="60BAFF"/>
              </w:rPr>
              <w:t>Board Recommendation</w:t>
            </w:r>
          </w:p>
        </w:tc>
        <w:tc>
          <w:tcPr>
            <w:tcW w:w="0" w:type="dxa"/>
            <w:vAlign w:val="bottom"/>
          </w:tcPr>
          <w:p>
            <w:pPr>
              <w:spacing w:after="0"/>
              <w:rPr>
                <w:sz w:val="1"/>
                <w:szCs w:val="1"/>
                <w:color w:val="auto"/>
              </w:rPr>
            </w:pPr>
          </w:p>
        </w:tc>
      </w:tr>
      <w:tr>
        <w:trPr>
          <w:trHeight w:val="43"/>
        </w:trPr>
        <w:tc>
          <w:tcPr>
            <w:tcW w:w="3760" w:type="dxa"/>
            <w:vAlign w:val="bottom"/>
            <w:tcBorders>
              <w:bottom w:val="single" w:sz="8" w:color="60BAFF"/>
              <w:right w:val="single" w:sz="8" w:color="B2B2B2"/>
            </w:tcBorders>
            <w:gridSpan w:val="2"/>
          </w:tcPr>
          <w:p>
            <w:pPr>
              <w:spacing w:after="0"/>
              <w:rPr>
                <w:sz w:val="3"/>
                <w:szCs w:val="3"/>
                <w:color w:val="auto"/>
              </w:rPr>
            </w:pPr>
          </w:p>
        </w:tc>
        <w:tc>
          <w:tcPr>
            <w:tcW w:w="3640" w:type="dxa"/>
            <w:vAlign w:val="bottom"/>
            <w:tcBorders>
              <w:bottom w:val="single" w:sz="8" w:color="60BAFF"/>
              <w:right w:val="single" w:sz="8" w:color="B2B2B2"/>
            </w:tcBorders>
          </w:tcPr>
          <w:p>
            <w:pPr>
              <w:spacing w:after="0"/>
              <w:rPr>
                <w:sz w:val="3"/>
                <w:szCs w:val="3"/>
                <w:color w:val="auto"/>
              </w:rPr>
            </w:pPr>
          </w:p>
        </w:tc>
        <w:tc>
          <w:tcPr>
            <w:tcW w:w="3620" w:type="dxa"/>
            <w:vAlign w:val="bottom"/>
            <w:tcBorders>
              <w:bottom w:val="single" w:sz="8" w:color="60BAFF"/>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40" w:type="dxa"/>
            <w:vAlign w:val="bottom"/>
            <w:tcBorders>
              <w:right w:val="single" w:sz="8" w:color="B2B2B2"/>
            </w:tcBorders>
          </w:tcPr>
          <w:p>
            <w:pPr>
              <w:jc w:val="right"/>
              <w:spacing w:after="0"/>
              <w:rPr>
                <w:sz w:val="20"/>
                <w:szCs w:val="20"/>
                <w:color w:val="auto"/>
              </w:rPr>
            </w:pPr>
            <w:r>
              <w:rPr>
                <w:rFonts w:ascii="Arial" w:cs="Arial" w:eastAsia="Arial" w:hAnsi="Arial"/>
                <w:sz w:val="15"/>
                <w:szCs w:val="15"/>
                <w:b w:val="1"/>
                <w:bCs w:val="1"/>
                <w:color w:val="auto"/>
                <w:w w:val="71"/>
              </w:rPr>
              <w:t>1</w:t>
            </w:r>
          </w:p>
        </w:tc>
        <w:tc>
          <w:tcPr>
            <w:tcW w:w="362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Election of Directors</w:t>
            </w:r>
          </w:p>
        </w:tc>
        <w:tc>
          <w:tcPr>
            <w:tcW w:w="3640" w:type="dxa"/>
            <w:vAlign w:val="bottom"/>
            <w:tcBorders>
              <w:right w:val="single" w:sz="8" w:color="B2B2B2"/>
            </w:tcBorders>
          </w:tcPr>
          <w:p>
            <w:pPr>
              <w:ind w:left="180"/>
              <w:spacing w:after="0"/>
              <w:rPr>
                <w:sz w:val="20"/>
                <w:szCs w:val="20"/>
                <w:color w:val="auto"/>
              </w:rPr>
            </w:pPr>
            <w:r>
              <w:rPr>
                <w:rFonts w:ascii="Arial" w:cs="Arial" w:eastAsia="Arial" w:hAnsi="Arial"/>
                <w:sz w:val="16"/>
                <w:szCs w:val="16"/>
                <w:color w:val="auto"/>
              </w:rPr>
              <w:t>•  FOR the election of all director nominees</w:t>
            </w:r>
          </w:p>
        </w:tc>
        <w:tc>
          <w:tcPr>
            <w:tcW w:w="3620" w:type="dxa"/>
            <w:vAlign w:val="bottom"/>
          </w:tcPr>
          <w:p>
            <w:pPr>
              <w:ind w:left="80"/>
              <w:spacing w:after="0"/>
              <w:rPr>
                <w:sz w:val="20"/>
                <w:szCs w:val="20"/>
                <w:color w:val="auto"/>
              </w:rPr>
            </w:pPr>
            <w:r>
              <w:rPr>
                <w:rFonts w:ascii="Arial" w:cs="Arial" w:eastAsia="Arial" w:hAnsi="Arial"/>
                <w:sz w:val="16"/>
                <w:szCs w:val="16"/>
                <w:color w:val="auto"/>
              </w:rPr>
              <w:t>Our Board recommends that you vote FOR all</w:t>
            </w:r>
          </w:p>
        </w:tc>
        <w:tc>
          <w:tcPr>
            <w:tcW w:w="0" w:type="dxa"/>
            <w:vAlign w:val="bottom"/>
          </w:tcPr>
          <w:p>
            <w:pPr>
              <w:spacing w:after="0"/>
              <w:rPr>
                <w:sz w:val="1"/>
                <w:szCs w:val="1"/>
                <w:color w:val="auto"/>
              </w:rPr>
            </w:pPr>
          </w:p>
        </w:tc>
      </w:tr>
      <w:tr>
        <w:trPr>
          <w:trHeight w:val="228"/>
        </w:trPr>
        <w:tc>
          <w:tcPr>
            <w:tcW w:w="140" w:type="dxa"/>
            <w:vAlign w:val="bottom"/>
            <w:tcBorders>
              <w:right w:val="single" w:sz="8" w:color="B2B2B2"/>
            </w:tcBorders>
          </w:tcPr>
          <w:p>
            <w:pPr>
              <w:spacing w:after="0"/>
              <w:rPr>
                <w:sz w:val="19"/>
                <w:szCs w:val="19"/>
                <w:color w:val="auto"/>
              </w:rPr>
            </w:pPr>
          </w:p>
        </w:tc>
        <w:tc>
          <w:tcPr>
            <w:tcW w:w="3620" w:type="dxa"/>
            <w:vAlign w:val="bottom"/>
            <w:tcBorders>
              <w:right w:val="single" w:sz="8" w:color="B2B2B2"/>
            </w:tcBorders>
          </w:tcPr>
          <w:p>
            <w:pPr>
              <w:spacing w:after="0"/>
              <w:rPr>
                <w:sz w:val="19"/>
                <w:szCs w:val="19"/>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named herein</w:t>
            </w:r>
          </w:p>
        </w:tc>
        <w:tc>
          <w:tcPr>
            <w:tcW w:w="3620" w:type="dxa"/>
            <w:vAlign w:val="bottom"/>
          </w:tcPr>
          <w:p>
            <w:pPr>
              <w:ind w:left="80"/>
              <w:spacing w:after="0"/>
              <w:rPr>
                <w:sz w:val="20"/>
                <w:szCs w:val="20"/>
                <w:color w:val="auto"/>
              </w:rPr>
            </w:pPr>
            <w:r>
              <w:rPr>
                <w:rFonts w:ascii="Arial" w:cs="Arial" w:eastAsia="Arial" w:hAnsi="Arial"/>
                <w:sz w:val="16"/>
                <w:szCs w:val="16"/>
                <w:color w:val="auto"/>
              </w:rPr>
              <w:t>director nominees</w:t>
            </w:r>
          </w:p>
        </w:tc>
        <w:tc>
          <w:tcPr>
            <w:tcW w:w="0" w:type="dxa"/>
            <w:vAlign w:val="bottom"/>
          </w:tcPr>
          <w:p>
            <w:pPr>
              <w:spacing w:after="0"/>
              <w:rPr>
                <w:sz w:val="1"/>
                <w:szCs w:val="1"/>
                <w:color w:val="auto"/>
              </w:rPr>
            </w:pPr>
          </w:p>
        </w:tc>
      </w:tr>
      <w:tr>
        <w:trPr>
          <w:trHeight w:val="324"/>
        </w:trPr>
        <w:tc>
          <w:tcPr>
            <w:tcW w:w="140" w:type="dxa"/>
            <w:vAlign w:val="bottom"/>
            <w:tcBorders>
              <w:right w:val="single" w:sz="8" w:color="B2B2B2"/>
            </w:tcBorders>
          </w:tcPr>
          <w:p>
            <w:pPr>
              <w:spacing w:after="0"/>
              <w:rPr>
                <w:sz w:val="24"/>
                <w:szCs w:val="24"/>
                <w:color w:val="auto"/>
              </w:rPr>
            </w:pPr>
          </w:p>
        </w:tc>
        <w:tc>
          <w:tcPr>
            <w:tcW w:w="3620" w:type="dxa"/>
            <w:vAlign w:val="bottom"/>
            <w:tcBorders>
              <w:right w:val="single" w:sz="8" w:color="B2B2B2"/>
            </w:tcBorders>
          </w:tcPr>
          <w:p>
            <w:pPr>
              <w:spacing w:after="0"/>
              <w:rPr>
                <w:sz w:val="24"/>
                <w:szCs w:val="24"/>
                <w:color w:val="auto"/>
              </w:rPr>
            </w:pPr>
          </w:p>
        </w:tc>
        <w:tc>
          <w:tcPr>
            <w:tcW w:w="3640" w:type="dxa"/>
            <w:vAlign w:val="bottom"/>
            <w:tcBorders>
              <w:right w:val="single" w:sz="8" w:color="B2B2B2"/>
            </w:tcBorders>
          </w:tcPr>
          <w:p>
            <w:pPr>
              <w:ind w:left="180"/>
              <w:spacing w:after="0"/>
              <w:rPr>
                <w:sz w:val="20"/>
                <w:szCs w:val="20"/>
                <w:color w:val="auto"/>
              </w:rPr>
            </w:pPr>
            <w:r>
              <w:rPr>
                <w:rFonts w:ascii="Arial" w:cs="Arial" w:eastAsia="Arial" w:hAnsi="Arial"/>
                <w:sz w:val="16"/>
                <w:szCs w:val="16"/>
                <w:color w:val="auto"/>
              </w:rPr>
              <w:t>•  WITHHOLD authority to vote for all such</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director nominees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40" w:type="dxa"/>
            <w:vAlign w:val="bottom"/>
            <w:tcBorders>
              <w:right w:val="single" w:sz="8" w:color="B2B2B2"/>
            </w:tcBorders>
          </w:tcPr>
          <w:p>
            <w:pPr>
              <w:spacing w:after="0"/>
              <w:rPr>
                <w:sz w:val="24"/>
                <w:szCs w:val="24"/>
                <w:color w:val="auto"/>
              </w:rPr>
            </w:pPr>
          </w:p>
        </w:tc>
        <w:tc>
          <w:tcPr>
            <w:tcW w:w="3620" w:type="dxa"/>
            <w:vAlign w:val="bottom"/>
            <w:tcBorders>
              <w:right w:val="single" w:sz="8" w:color="B2B2B2"/>
            </w:tcBorders>
          </w:tcPr>
          <w:p>
            <w:pPr>
              <w:spacing w:after="0"/>
              <w:rPr>
                <w:sz w:val="24"/>
                <w:szCs w:val="24"/>
                <w:color w:val="auto"/>
              </w:rPr>
            </w:pPr>
          </w:p>
        </w:tc>
        <w:tc>
          <w:tcPr>
            <w:tcW w:w="3640" w:type="dxa"/>
            <w:vAlign w:val="bottom"/>
            <w:tcBorders>
              <w:right w:val="single" w:sz="8" w:color="B2B2B2"/>
            </w:tcBorders>
          </w:tcPr>
          <w:p>
            <w:pPr>
              <w:ind w:left="180"/>
              <w:spacing w:after="0"/>
              <w:rPr>
                <w:sz w:val="20"/>
                <w:szCs w:val="20"/>
                <w:color w:val="auto"/>
              </w:rPr>
            </w:pPr>
            <w:r>
              <w:rPr>
                <w:rFonts w:ascii="Arial" w:cs="Arial" w:eastAsia="Arial" w:hAnsi="Arial"/>
                <w:sz w:val="16"/>
                <w:szCs w:val="16"/>
                <w:color w:val="auto"/>
              </w:rPr>
              <w:t>•  FOR the election of all such director</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nominees other than any nominees with</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respect to whom the authority to vote is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specifically withheld by indicating in the</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 w:type="dxa"/>
            <w:vAlign w:val="bottom"/>
            <w:tcBorders>
              <w:right w:val="single" w:sz="8" w:color="B2B2B2"/>
            </w:tcBorders>
          </w:tcPr>
          <w:p>
            <w:pPr>
              <w:spacing w:after="0"/>
              <w:rPr>
                <w:sz w:val="19"/>
                <w:szCs w:val="19"/>
                <w:color w:val="auto"/>
              </w:rPr>
            </w:pPr>
          </w:p>
        </w:tc>
        <w:tc>
          <w:tcPr>
            <w:tcW w:w="3620" w:type="dxa"/>
            <w:vAlign w:val="bottom"/>
            <w:tcBorders>
              <w:right w:val="single" w:sz="8" w:color="B2B2B2"/>
            </w:tcBorders>
          </w:tcPr>
          <w:p>
            <w:pPr>
              <w:spacing w:after="0"/>
              <w:rPr>
                <w:sz w:val="19"/>
                <w:szCs w:val="19"/>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space provided on the proxy</w:t>
            </w: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Borders>
              <w:right w:val="single" w:sz="8" w:color="B2B2B2"/>
            </w:tcBorders>
            <w:shd w:val="clear" w:color="auto" w:fill="F2FFFF"/>
          </w:tcPr>
          <w:p>
            <w:pPr>
              <w:jc w:val="right"/>
              <w:spacing w:after="0"/>
              <w:rPr>
                <w:sz w:val="20"/>
                <w:szCs w:val="20"/>
                <w:color w:val="auto"/>
              </w:rPr>
            </w:pPr>
            <w:r>
              <w:rPr>
                <w:rFonts w:ascii="Arial" w:cs="Arial" w:eastAsia="Arial" w:hAnsi="Arial"/>
                <w:sz w:val="15"/>
                <w:szCs w:val="15"/>
                <w:b w:val="1"/>
                <w:bCs w:val="1"/>
                <w:color w:val="auto"/>
                <w:w w:val="71"/>
              </w:rPr>
              <w:t>2</w:t>
            </w:r>
          </w:p>
        </w:tc>
        <w:tc>
          <w:tcPr>
            <w:tcW w:w="362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Approval of Amendment to the NerdWallet,</w:t>
            </w:r>
          </w:p>
        </w:tc>
        <w:tc>
          <w:tcPr>
            <w:tcW w:w="3640" w:type="dxa"/>
            <w:vAlign w:val="bottom"/>
            <w:tcBorders>
              <w:right w:val="single" w:sz="8" w:color="B2B2B2"/>
            </w:tcBorders>
            <w:shd w:val="clear" w:color="auto" w:fill="F2FFFF"/>
          </w:tcPr>
          <w:p>
            <w:pPr>
              <w:ind w:left="180"/>
              <w:spacing w:after="0"/>
              <w:rPr>
                <w:sz w:val="20"/>
                <w:szCs w:val="20"/>
                <w:color w:val="auto"/>
              </w:rPr>
            </w:pPr>
            <w:r>
              <w:rPr>
                <w:rFonts w:ascii="Arial" w:cs="Arial" w:eastAsia="Arial" w:hAnsi="Arial"/>
                <w:sz w:val="16"/>
                <w:szCs w:val="16"/>
                <w:color w:val="auto"/>
              </w:rPr>
              <w:t>•  FOR or AGAINST the approval of the</w:t>
            </w:r>
          </w:p>
        </w:tc>
        <w:tc>
          <w:tcPr>
            <w:tcW w:w="3620" w:type="dxa"/>
            <w:vAlign w:val="bottom"/>
            <w:shd w:val="clear" w:color="auto" w:fill="F2FFFF"/>
          </w:tcPr>
          <w:p>
            <w:pPr>
              <w:ind w:left="80"/>
              <w:spacing w:after="0"/>
              <w:rPr>
                <w:sz w:val="20"/>
                <w:szCs w:val="20"/>
                <w:color w:val="auto"/>
              </w:rPr>
            </w:pPr>
            <w:r>
              <w:rPr>
                <w:rFonts w:ascii="Arial" w:cs="Arial" w:eastAsia="Arial" w:hAnsi="Arial"/>
                <w:sz w:val="16"/>
                <w:szCs w:val="16"/>
                <w:color w:val="auto"/>
              </w:rPr>
              <w:t>Our Board recommends that you vote FOR the</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shd w:val="clear" w:color="auto" w:fill="F2FFFF"/>
          </w:tcPr>
          <w:p>
            <w:pPr>
              <w:spacing w:after="0"/>
              <w:rPr>
                <w:sz w:val="18"/>
                <w:szCs w:val="18"/>
                <w:color w:val="auto"/>
              </w:rPr>
            </w:pPr>
          </w:p>
        </w:tc>
        <w:tc>
          <w:tcPr>
            <w:tcW w:w="362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Inc. 2021 Equity Incentive Plan</w:t>
            </w:r>
          </w:p>
        </w:tc>
        <w:tc>
          <w:tcPr>
            <w:tcW w:w="3640" w:type="dxa"/>
            <w:vAlign w:val="bottom"/>
            <w:tcBorders>
              <w:right w:val="single" w:sz="8" w:color="B2B2B2"/>
            </w:tcBorders>
            <w:shd w:val="clear" w:color="auto" w:fill="F2FFFF"/>
          </w:tcPr>
          <w:p>
            <w:pPr>
              <w:ind w:left="420"/>
              <w:spacing w:after="0"/>
              <w:rPr>
                <w:sz w:val="20"/>
                <w:szCs w:val="20"/>
                <w:color w:val="auto"/>
              </w:rPr>
            </w:pPr>
            <w:r>
              <w:rPr>
                <w:rFonts w:ascii="Arial" w:cs="Arial" w:eastAsia="Arial" w:hAnsi="Arial"/>
                <w:sz w:val="16"/>
                <w:szCs w:val="16"/>
                <w:color w:val="auto"/>
              </w:rPr>
              <w:t>amendment to the NerdWallet, Inc. 2021</w:t>
            </w:r>
          </w:p>
        </w:tc>
        <w:tc>
          <w:tcPr>
            <w:tcW w:w="3620" w:type="dxa"/>
            <w:vAlign w:val="bottom"/>
            <w:shd w:val="clear" w:color="auto" w:fill="F2FFFF"/>
          </w:tcPr>
          <w:p>
            <w:pPr>
              <w:ind w:left="80"/>
              <w:spacing w:after="0"/>
              <w:rPr>
                <w:sz w:val="20"/>
                <w:szCs w:val="20"/>
                <w:color w:val="auto"/>
              </w:rPr>
            </w:pPr>
            <w:r>
              <w:rPr>
                <w:rFonts w:ascii="Arial" w:cs="Arial" w:eastAsia="Arial" w:hAnsi="Arial"/>
                <w:sz w:val="16"/>
                <w:szCs w:val="16"/>
                <w:color w:val="auto"/>
              </w:rPr>
              <w:t>approval of the amendment to the NerdWallet,</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shd w:val="clear" w:color="auto" w:fill="F2FFFF"/>
          </w:tcPr>
          <w:p>
            <w:pPr>
              <w:spacing w:after="0"/>
              <w:rPr>
                <w:sz w:val="18"/>
                <w:szCs w:val="18"/>
                <w:color w:val="auto"/>
              </w:rPr>
            </w:pPr>
          </w:p>
        </w:tc>
        <w:tc>
          <w:tcPr>
            <w:tcW w:w="3620" w:type="dxa"/>
            <w:vAlign w:val="bottom"/>
            <w:tcBorders>
              <w:right w:val="single" w:sz="8" w:color="B2B2B2"/>
            </w:tcBorders>
            <w:shd w:val="clear" w:color="auto" w:fill="F2FFFF"/>
          </w:tcPr>
          <w:p>
            <w:pPr>
              <w:spacing w:after="0"/>
              <w:rPr>
                <w:sz w:val="18"/>
                <w:szCs w:val="18"/>
                <w:color w:val="auto"/>
              </w:rPr>
            </w:pPr>
          </w:p>
        </w:tc>
        <w:tc>
          <w:tcPr>
            <w:tcW w:w="3640" w:type="dxa"/>
            <w:vAlign w:val="bottom"/>
            <w:tcBorders>
              <w:right w:val="single" w:sz="8" w:color="B2B2B2"/>
            </w:tcBorders>
            <w:shd w:val="clear" w:color="auto" w:fill="F2FFFF"/>
          </w:tcPr>
          <w:p>
            <w:pPr>
              <w:ind w:left="420"/>
              <w:spacing w:after="0"/>
              <w:rPr>
                <w:sz w:val="20"/>
                <w:szCs w:val="20"/>
                <w:color w:val="auto"/>
              </w:rPr>
            </w:pPr>
            <w:r>
              <w:rPr>
                <w:rFonts w:ascii="Arial" w:cs="Arial" w:eastAsia="Arial" w:hAnsi="Arial"/>
                <w:sz w:val="16"/>
                <w:szCs w:val="16"/>
                <w:color w:val="auto"/>
              </w:rPr>
              <w:t>Equity Incentive Plan to increase the</w:t>
            </w:r>
          </w:p>
        </w:tc>
        <w:tc>
          <w:tcPr>
            <w:tcW w:w="3620" w:type="dxa"/>
            <w:vAlign w:val="bottom"/>
            <w:shd w:val="clear" w:color="auto" w:fill="F2FFFF"/>
          </w:tcPr>
          <w:p>
            <w:pPr>
              <w:ind w:left="80"/>
              <w:spacing w:after="0"/>
              <w:rPr>
                <w:sz w:val="20"/>
                <w:szCs w:val="20"/>
                <w:color w:val="auto"/>
              </w:rPr>
            </w:pPr>
            <w:r>
              <w:rPr>
                <w:rFonts w:ascii="Arial" w:cs="Arial" w:eastAsia="Arial" w:hAnsi="Arial"/>
                <w:sz w:val="16"/>
                <w:szCs w:val="16"/>
                <w:color w:val="auto"/>
              </w:rPr>
              <w:t>Inc. 2021 Equity Incentive Plan to increase the</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shd w:val="clear" w:color="auto" w:fill="F2FFFF"/>
          </w:tcPr>
          <w:p>
            <w:pPr>
              <w:spacing w:after="0"/>
              <w:rPr>
                <w:sz w:val="18"/>
                <w:szCs w:val="18"/>
                <w:color w:val="auto"/>
              </w:rPr>
            </w:pPr>
          </w:p>
        </w:tc>
        <w:tc>
          <w:tcPr>
            <w:tcW w:w="3620" w:type="dxa"/>
            <w:vAlign w:val="bottom"/>
            <w:tcBorders>
              <w:right w:val="single" w:sz="8" w:color="B2B2B2"/>
            </w:tcBorders>
            <w:shd w:val="clear" w:color="auto" w:fill="F2FFFF"/>
          </w:tcPr>
          <w:p>
            <w:pPr>
              <w:spacing w:after="0"/>
              <w:rPr>
                <w:sz w:val="18"/>
                <w:szCs w:val="18"/>
                <w:color w:val="auto"/>
              </w:rPr>
            </w:pPr>
          </w:p>
        </w:tc>
        <w:tc>
          <w:tcPr>
            <w:tcW w:w="3640" w:type="dxa"/>
            <w:vAlign w:val="bottom"/>
            <w:tcBorders>
              <w:right w:val="single" w:sz="8" w:color="B2B2B2"/>
            </w:tcBorders>
            <w:shd w:val="clear" w:color="auto" w:fill="F2FFFF"/>
          </w:tcPr>
          <w:p>
            <w:pPr>
              <w:ind w:left="420"/>
              <w:spacing w:after="0"/>
              <w:rPr>
                <w:sz w:val="20"/>
                <w:szCs w:val="20"/>
                <w:color w:val="auto"/>
              </w:rPr>
            </w:pPr>
            <w:r>
              <w:rPr>
                <w:rFonts w:ascii="Arial" w:cs="Arial" w:eastAsia="Arial" w:hAnsi="Arial"/>
                <w:sz w:val="16"/>
                <w:szCs w:val="16"/>
                <w:color w:val="auto"/>
              </w:rPr>
              <w:t>number of shares of Class A common stock</w:t>
            </w:r>
          </w:p>
        </w:tc>
        <w:tc>
          <w:tcPr>
            <w:tcW w:w="3620" w:type="dxa"/>
            <w:vAlign w:val="bottom"/>
            <w:shd w:val="clear" w:color="auto" w:fill="F2FFFF"/>
          </w:tcPr>
          <w:p>
            <w:pPr>
              <w:ind w:left="80"/>
              <w:spacing w:after="0"/>
              <w:rPr>
                <w:sz w:val="20"/>
                <w:szCs w:val="20"/>
                <w:color w:val="auto"/>
              </w:rPr>
            </w:pPr>
            <w:r>
              <w:rPr>
                <w:rFonts w:ascii="Arial" w:cs="Arial" w:eastAsia="Arial" w:hAnsi="Arial"/>
                <w:sz w:val="16"/>
                <w:szCs w:val="16"/>
                <w:color w:val="auto"/>
              </w:rPr>
              <w:t>number of shares of Class A common stock</w:t>
            </w:r>
          </w:p>
        </w:tc>
        <w:tc>
          <w:tcPr>
            <w:tcW w:w="0" w:type="dxa"/>
            <w:vAlign w:val="bottom"/>
          </w:tcPr>
          <w:p>
            <w:pPr>
              <w:spacing w:after="0"/>
              <w:rPr>
                <w:sz w:val="1"/>
                <w:szCs w:val="1"/>
                <w:color w:val="auto"/>
              </w:rPr>
            </w:pPr>
          </w:p>
        </w:tc>
      </w:tr>
      <w:tr>
        <w:trPr>
          <w:trHeight w:val="215"/>
        </w:trPr>
        <w:tc>
          <w:tcPr>
            <w:tcW w:w="140" w:type="dxa"/>
            <w:vAlign w:val="bottom"/>
            <w:tcBorders>
              <w:right w:val="single" w:sz="8" w:color="B2B2B2"/>
            </w:tcBorders>
            <w:shd w:val="clear" w:color="auto" w:fill="F2FFFF"/>
          </w:tcPr>
          <w:p>
            <w:pPr>
              <w:spacing w:after="0"/>
              <w:rPr>
                <w:sz w:val="18"/>
                <w:szCs w:val="18"/>
                <w:color w:val="auto"/>
              </w:rPr>
            </w:pPr>
          </w:p>
        </w:tc>
        <w:tc>
          <w:tcPr>
            <w:tcW w:w="3620" w:type="dxa"/>
            <w:vAlign w:val="bottom"/>
            <w:tcBorders>
              <w:right w:val="single" w:sz="8" w:color="B2B2B2"/>
            </w:tcBorders>
            <w:shd w:val="clear" w:color="auto" w:fill="F2FFFF"/>
          </w:tcPr>
          <w:p>
            <w:pPr>
              <w:spacing w:after="0"/>
              <w:rPr>
                <w:sz w:val="18"/>
                <w:szCs w:val="18"/>
                <w:color w:val="auto"/>
              </w:rPr>
            </w:pPr>
          </w:p>
        </w:tc>
        <w:tc>
          <w:tcPr>
            <w:tcW w:w="3640" w:type="dxa"/>
            <w:vAlign w:val="bottom"/>
            <w:tcBorders>
              <w:right w:val="single" w:sz="8" w:color="B2B2B2"/>
            </w:tcBorders>
            <w:shd w:val="clear" w:color="auto" w:fill="F2FFFF"/>
          </w:tcPr>
          <w:p>
            <w:pPr>
              <w:ind w:left="420"/>
              <w:spacing w:after="0"/>
              <w:rPr>
                <w:sz w:val="20"/>
                <w:szCs w:val="20"/>
                <w:color w:val="auto"/>
              </w:rPr>
            </w:pPr>
            <w:r>
              <w:rPr>
                <w:rFonts w:ascii="Arial" w:cs="Arial" w:eastAsia="Arial" w:hAnsi="Arial"/>
                <w:sz w:val="16"/>
                <w:szCs w:val="16"/>
                <w:color w:val="auto"/>
              </w:rPr>
              <w:t>reserved for issuance thereunder by</w:t>
            </w:r>
          </w:p>
        </w:tc>
        <w:tc>
          <w:tcPr>
            <w:tcW w:w="3620" w:type="dxa"/>
            <w:vAlign w:val="bottom"/>
            <w:vMerge w:val="restart"/>
            <w:shd w:val="clear" w:color="auto" w:fill="F2FFFF"/>
          </w:tcPr>
          <w:p>
            <w:pPr>
              <w:ind w:left="80"/>
              <w:spacing w:after="0"/>
              <w:rPr>
                <w:sz w:val="20"/>
                <w:szCs w:val="20"/>
                <w:color w:val="auto"/>
              </w:rPr>
            </w:pPr>
            <w:r>
              <w:rPr>
                <w:rFonts w:ascii="Arial" w:cs="Arial" w:eastAsia="Arial" w:hAnsi="Arial"/>
                <w:sz w:val="16"/>
                <w:szCs w:val="16"/>
                <w:color w:val="auto"/>
              </w:rPr>
              <w:t>reserved for issuance thereunder by 8,000,000</w:t>
            </w:r>
          </w:p>
        </w:tc>
        <w:tc>
          <w:tcPr>
            <w:tcW w:w="0" w:type="dxa"/>
            <w:vAlign w:val="bottom"/>
          </w:tcPr>
          <w:p>
            <w:pPr>
              <w:spacing w:after="0"/>
              <w:rPr>
                <w:sz w:val="1"/>
                <w:szCs w:val="1"/>
                <w:color w:val="auto"/>
              </w:rPr>
            </w:pPr>
          </w:p>
        </w:tc>
      </w:tr>
      <w:tr>
        <w:trPr>
          <w:trHeight w:val="54"/>
        </w:trPr>
        <w:tc>
          <w:tcPr>
            <w:tcW w:w="140" w:type="dxa"/>
            <w:vAlign w:val="bottom"/>
            <w:tcBorders>
              <w:right w:val="single" w:sz="8" w:color="B2B2B2"/>
            </w:tcBorders>
            <w:shd w:val="clear" w:color="auto" w:fill="F2FFFF"/>
          </w:tcPr>
          <w:p>
            <w:pPr>
              <w:spacing w:after="0"/>
              <w:rPr>
                <w:sz w:val="4"/>
                <w:szCs w:val="4"/>
                <w:color w:val="auto"/>
              </w:rPr>
            </w:pPr>
          </w:p>
        </w:tc>
        <w:tc>
          <w:tcPr>
            <w:tcW w:w="3620" w:type="dxa"/>
            <w:vAlign w:val="bottom"/>
            <w:tcBorders>
              <w:right w:val="single" w:sz="8" w:color="B2B2B2"/>
            </w:tcBorders>
            <w:shd w:val="clear" w:color="auto" w:fill="F2FFFF"/>
          </w:tcPr>
          <w:p>
            <w:pPr>
              <w:spacing w:after="0"/>
              <w:rPr>
                <w:sz w:val="4"/>
                <w:szCs w:val="4"/>
                <w:color w:val="auto"/>
              </w:rPr>
            </w:pPr>
          </w:p>
        </w:tc>
        <w:tc>
          <w:tcPr>
            <w:tcW w:w="3640" w:type="dxa"/>
            <w:vAlign w:val="bottom"/>
            <w:tcBorders>
              <w:right w:val="single" w:sz="8" w:color="B2B2B2"/>
            </w:tcBorders>
            <w:vMerge w:val="restart"/>
            <w:shd w:val="clear" w:color="auto" w:fill="F2FFFF"/>
          </w:tcPr>
          <w:p>
            <w:pPr>
              <w:ind w:left="420"/>
              <w:spacing w:after="0"/>
              <w:rPr>
                <w:sz w:val="20"/>
                <w:szCs w:val="20"/>
                <w:color w:val="auto"/>
              </w:rPr>
            </w:pPr>
            <w:r>
              <w:rPr>
                <w:rFonts w:ascii="Arial" w:cs="Arial" w:eastAsia="Arial" w:hAnsi="Arial"/>
                <w:sz w:val="16"/>
                <w:szCs w:val="16"/>
                <w:color w:val="auto"/>
              </w:rPr>
              <w:t>8,000,000</w:t>
            </w:r>
          </w:p>
        </w:tc>
        <w:tc>
          <w:tcPr>
            <w:tcW w:w="3620" w:type="dxa"/>
            <w:vAlign w:val="bottom"/>
            <w:vMerge w:val="continue"/>
            <w:shd w:val="clear" w:color="auto" w:fill="F2FF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B2B2B2"/>
            </w:tcBorders>
            <w:shd w:val="clear" w:color="auto" w:fill="F2FFFF"/>
          </w:tcPr>
          <w:p>
            <w:pPr>
              <w:spacing w:after="0"/>
              <w:rPr>
                <w:sz w:val="14"/>
                <w:szCs w:val="14"/>
                <w:color w:val="auto"/>
              </w:rPr>
            </w:pPr>
          </w:p>
        </w:tc>
        <w:tc>
          <w:tcPr>
            <w:tcW w:w="3620" w:type="dxa"/>
            <w:vAlign w:val="bottom"/>
            <w:tcBorders>
              <w:right w:val="single" w:sz="8" w:color="B2B2B2"/>
            </w:tcBorders>
            <w:shd w:val="clear" w:color="auto" w:fill="F2FFFF"/>
          </w:tcPr>
          <w:p>
            <w:pPr>
              <w:spacing w:after="0"/>
              <w:rPr>
                <w:sz w:val="14"/>
                <w:szCs w:val="14"/>
                <w:color w:val="auto"/>
              </w:rPr>
            </w:pPr>
          </w:p>
        </w:tc>
        <w:tc>
          <w:tcPr>
            <w:tcW w:w="3640" w:type="dxa"/>
            <w:vAlign w:val="bottom"/>
            <w:tcBorders>
              <w:right w:val="single" w:sz="8" w:color="B2B2B2"/>
            </w:tcBorders>
            <w:vMerge w:val="continue"/>
            <w:shd w:val="clear" w:color="auto" w:fill="F2FFFF"/>
          </w:tcPr>
          <w:p>
            <w:pPr>
              <w:spacing w:after="0"/>
              <w:rPr>
                <w:sz w:val="14"/>
                <w:szCs w:val="14"/>
                <w:color w:val="auto"/>
              </w:rPr>
            </w:pPr>
          </w:p>
        </w:tc>
        <w:tc>
          <w:tcPr>
            <w:tcW w:w="3620" w:type="dxa"/>
            <w:vAlign w:val="bottom"/>
            <w:shd w:val="clear" w:color="auto" w:fill="F2FFFF"/>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140" w:type="dxa"/>
            <w:vAlign w:val="bottom"/>
            <w:tcBorders>
              <w:right w:val="single" w:sz="8" w:color="B2B2B2"/>
            </w:tcBorders>
            <w:shd w:val="clear" w:color="auto" w:fill="F2FFFF"/>
          </w:tcPr>
          <w:p>
            <w:pPr>
              <w:spacing w:after="0"/>
              <w:rPr>
                <w:sz w:val="24"/>
                <w:szCs w:val="24"/>
                <w:color w:val="auto"/>
              </w:rPr>
            </w:pPr>
          </w:p>
        </w:tc>
        <w:tc>
          <w:tcPr>
            <w:tcW w:w="3620" w:type="dxa"/>
            <w:vAlign w:val="bottom"/>
            <w:tcBorders>
              <w:right w:val="single" w:sz="8" w:color="B2B2B2"/>
            </w:tcBorders>
            <w:shd w:val="clear" w:color="auto" w:fill="F2FFFF"/>
          </w:tcPr>
          <w:p>
            <w:pPr>
              <w:spacing w:after="0"/>
              <w:rPr>
                <w:sz w:val="24"/>
                <w:szCs w:val="24"/>
                <w:color w:val="auto"/>
              </w:rPr>
            </w:pPr>
          </w:p>
        </w:tc>
        <w:tc>
          <w:tcPr>
            <w:tcW w:w="3640" w:type="dxa"/>
            <w:vAlign w:val="bottom"/>
            <w:tcBorders>
              <w:right w:val="single" w:sz="8" w:color="B2B2B2"/>
            </w:tcBorders>
            <w:shd w:val="clear" w:color="auto" w:fill="F2FFFF"/>
          </w:tcPr>
          <w:p>
            <w:pPr>
              <w:ind w:left="180"/>
              <w:spacing w:after="0"/>
              <w:rPr>
                <w:sz w:val="20"/>
                <w:szCs w:val="20"/>
                <w:color w:val="auto"/>
              </w:rPr>
            </w:pPr>
            <w:r>
              <w:rPr>
                <w:rFonts w:ascii="Arial" w:cs="Arial" w:eastAsia="Arial" w:hAnsi="Arial"/>
                <w:sz w:val="16"/>
                <w:szCs w:val="16"/>
                <w:color w:val="auto"/>
              </w:rPr>
              <w:t>•  You may indicate that you wish to ABSTAIN</w:t>
            </w:r>
          </w:p>
        </w:tc>
        <w:tc>
          <w:tcPr>
            <w:tcW w:w="3620" w:type="dxa"/>
            <w:vAlign w:val="bottom"/>
            <w:shd w:val="clear" w:color="auto" w:fill="F2FF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0" w:type="dxa"/>
            <w:vAlign w:val="bottom"/>
            <w:tcBorders>
              <w:right w:val="single" w:sz="8" w:color="B2B2B2"/>
            </w:tcBorders>
            <w:shd w:val="clear" w:color="auto" w:fill="F2FFFF"/>
          </w:tcPr>
          <w:p>
            <w:pPr>
              <w:spacing w:after="0"/>
              <w:rPr>
                <w:sz w:val="20"/>
                <w:szCs w:val="20"/>
                <w:color w:val="auto"/>
              </w:rPr>
            </w:pPr>
          </w:p>
        </w:tc>
        <w:tc>
          <w:tcPr>
            <w:tcW w:w="3620" w:type="dxa"/>
            <w:vAlign w:val="bottom"/>
            <w:tcBorders>
              <w:right w:val="single" w:sz="8" w:color="B2B2B2"/>
            </w:tcBorders>
            <w:shd w:val="clear" w:color="auto" w:fill="F2FFFF"/>
          </w:tcPr>
          <w:p>
            <w:pPr>
              <w:spacing w:after="0"/>
              <w:rPr>
                <w:sz w:val="20"/>
                <w:szCs w:val="20"/>
                <w:color w:val="auto"/>
              </w:rPr>
            </w:pPr>
          </w:p>
        </w:tc>
        <w:tc>
          <w:tcPr>
            <w:tcW w:w="3640" w:type="dxa"/>
            <w:vAlign w:val="bottom"/>
            <w:tcBorders>
              <w:right w:val="single" w:sz="8" w:color="B2B2B2"/>
            </w:tcBorders>
            <w:shd w:val="clear" w:color="auto" w:fill="F2FFFF"/>
          </w:tcPr>
          <w:p>
            <w:pPr>
              <w:ind w:left="420"/>
              <w:spacing w:after="0"/>
              <w:rPr>
                <w:sz w:val="20"/>
                <w:szCs w:val="20"/>
                <w:color w:val="auto"/>
              </w:rPr>
            </w:pPr>
            <w:r>
              <w:rPr>
                <w:rFonts w:ascii="Arial" w:cs="Arial" w:eastAsia="Arial" w:hAnsi="Arial"/>
                <w:sz w:val="16"/>
                <w:szCs w:val="16"/>
                <w:color w:val="auto"/>
              </w:rPr>
              <w:t>from voting on the matter</w:t>
            </w:r>
          </w:p>
        </w:tc>
        <w:tc>
          <w:tcPr>
            <w:tcW w:w="3620" w:type="dxa"/>
            <w:vAlign w:val="bottom"/>
            <w:shd w:val="clear" w:color="auto" w:fill="F2FF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40" w:type="dxa"/>
            <w:vAlign w:val="bottom"/>
            <w:tcBorders>
              <w:right w:val="single" w:sz="8" w:color="B2B2B2"/>
            </w:tcBorders>
          </w:tcPr>
          <w:p>
            <w:pPr>
              <w:jc w:val="right"/>
              <w:spacing w:after="0"/>
              <w:rPr>
                <w:sz w:val="20"/>
                <w:szCs w:val="20"/>
                <w:color w:val="auto"/>
              </w:rPr>
            </w:pPr>
            <w:r>
              <w:rPr>
                <w:rFonts w:ascii="Arial" w:cs="Arial" w:eastAsia="Arial" w:hAnsi="Arial"/>
                <w:sz w:val="15"/>
                <w:szCs w:val="15"/>
                <w:b w:val="1"/>
                <w:bCs w:val="1"/>
                <w:color w:val="auto"/>
                <w:w w:val="71"/>
              </w:rPr>
              <w:t>3</w:t>
            </w:r>
          </w:p>
        </w:tc>
        <w:tc>
          <w:tcPr>
            <w:tcW w:w="362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Ratification of Appointment of Independent</w:t>
            </w:r>
          </w:p>
        </w:tc>
        <w:tc>
          <w:tcPr>
            <w:tcW w:w="3640" w:type="dxa"/>
            <w:vAlign w:val="bottom"/>
            <w:tcBorders>
              <w:right w:val="single" w:sz="8" w:color="B2B2B2"/>
            </w:tcBorders>
          </w:tcPr>
          <w:p>
            <w:pPr>
              <w:ind w:left="180"/>
              <w:spacing w:after="0"/>
              <w:rPr>
                <w:sz w:val="20"/>
                <w:szCs w:val="20"/>
                <w:color w:val="auto"/>
              </w:rPr>
            </w:pPr>
            <w:r>
              <w:rPr>
                <w:rFonts w:ascii="Arial" w:cs="Arial" w:eastAsia="Arial" w:hAnsi="Arial"/>
                <w:sz w:val="16"/>
                <w:szCs w:val="16"/>
                <w:color w:val="auto"/>
              </w:rPr>
              <w:t>•  FOR or AGAINST the ratification of the</w:t>
            </w:r>
          </w:p>
        </w:tc>
        <w:tc>
          <w:tcPr>
            <w:tcW w:w="3620" w:type="dxa"/>
            <w:vAlign w:val="bottom"/>
          </w:tcPr>
          <w:p>
            <w:pPr>
              <w:ind w:left="80"/>
              <w:spacing w:after="0"/>
              <w:rPr>
                <w:sz w:val="20"/>
                <w:szCs w:val="20"/>
                <w:color w:val="auto"/>
              </w:rPr>
            </w:pPr>
            <w:r>
              <w:rPr>
                <w:rFonts w:ascii="Arial" w:cs="Arial" w:eastAsia="Arial" w:hAnsi="Arial"/>
                <w:sz w:val="16"/>
                <w:szCs w:val="16"/>
                <w:color w:val="auto"/>
              </w:rPr>
              <w:t>Our Board recommends that you vote FOR the</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Registered Public Accounting Firm</w:t>
            </w: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appointment of Deloitte &amp; Touche LLP as</w:t>
            </w:r>
          </w:p>
        </w:tc>
        <w:tc>
          <w:tcPr>
            <w:tcW w:w="3620" w:type="dxa"/>
            <w:vAlign w:val="bottom"/>
          </w:tcPr>
          <w:p>
            <w:pPr>
              <w:ind w:left="80"/>
              <w:spacing w:after="0"/>
              <w:rPr>
                <w:sz w:val="20"/>
                <w:szCs w:val="20"/>
                <w:color w:val="auto"/>
              </w:rPr>
            </w:pPr>
            <w:r>
              <w:rPr>
                <w:rFonts w:ascii="Arial" w:cs="Arial" w:eastAsia="Arial" w:hAnsi="Arial"/>
                <w:sz w:val="16"/>
                <w:szCs w:val="16"/>
                <w:color w:val="auto"/>
              </w:rPr>
              <w:t>ratification of the appointment of Deloitte &amp;</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our independent registered public</w:t>
            </w:r>
          </w:p>
        </w:tc>
        <w:tc>
          <w:tcPr>
            <w:tcW w:w="3620" w:type="dxa"/>
            <w:vAlign w:val="bottom"/>
          </w:tcPr>
          <w:p>
            <w:pPr>
              <w:ind w:left="80"/>
              <w:spacing w:after="0"/>
              <w:rPr>
                <w:sz w:val="20"/>
                <w:szCs w:val="20"/>
                <w:color w:val="auto"/>
              </w:rPr>
            </w:pPr>
            <w:r>
              <w:rPr>
                <w:rFonts w:ascii="Arial" w:cs="Arial" w:eastAsia="Arial" w:hAnsi="Arial"/>
                <w:sz w:val="16"/>
                <w:szCs w:val="16"/>
                <w:color w:val="auto"/>
              </w:rPr>
              <w:t>Touche LLP as our independent registered public</w:t>
            </w:r>
          </w:p>
        </w:tc>
        <w:tc>
          <w:tcPr>
            <w:tcW w:w="0" w:type="dxa"/>
            <w:vAlign w:val="bottom"/>
          </w:tcPr>
          <w:p>
            <w:pPr>
              <w:spacing w:after="0"/>
              <w:rPr>
                <w:sz w:val="1"/>
                <w:szCs w:val="1"/>
                <w:color w:val="auto"/>
              </w:rPr>
            </w:pPr>
          </w:p>
        </w:tc>
      </w:tr>
      <w:tr>
        <w:trPr>
          <w:trHeight w:val="216"/>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accounting firm for the year ending</w:t>
            </w:r>
          </w:p>
        </w:tc>
        <w:tc>
          <w:tcPr>
            <w:tcW w:w="3620" w:type="dxa"/>
            <w:vAlign w:val="bottom"/>
          </w:tcPr>
          <w:p>
            <w:pPr>
              <w:ind w:left="80"/>
              <w:spacing w:after="0"/>
              <w:rPr>
                <w:sz w:val="20"/>
                <w:szCs w:val="20"/>
                <w:color w:val="auto"/>
              </w:rPr>
            </w:pPr>
            <w:r>
              <w:rPr>
                <w:rFonts w:ascii="Arial" w:cs="Arial" w:eastAsia="Arial" w:hAnsi="Arial"/>
                <w:sz w:val="16"/>
                <w:szCs w:val="16"/>
                <w:color w:val="auto"/>
              </w:rPr>
              <w:t>accounting firm for the year ending</w:t>
            </w:r>
          </w:p>
        </w:tc>
        <w:tc>
          <w:tcPr>
            <w:tcW w:w="0" w:type="dxa"/>
            <w:vAlign w:val="bottom"/>
          </w:tcPr>
          <w:p>
            <w:pPr>
              <w:spacing w:after="0"/>
              <w:rPr>
                <w:sz w:val="1"/>
                <w:szCs w:val="1"/>
                <w:color w:val="auto"/>
              </w:rPr>
            </w:pPr>
          </w:p>
        </w:tc>
      </w:tr>
      <w:tr>
        <w:trPr>
          <w:trHeight w:val="215"/>
        </w:trPr>
        <w:tc>
          <w:tcPr>
            <w:tcW w:w="140" w:type="dxa"/>
            <w:vAlign w:val="bottom"/>
            <w:tcBorders>
              <w:right w:val="single" w:sz="8" w:color="B2B2B2"/>
            </w:tcBorders>
          </w:tcPr>
          <w:p>
            <w:pPr>
              <w:spacing w:after="0"/>
              <w:rPr>
                <w:sz w:val="18"/>
                <w:szCs w:val="18"/>
                <w:color w:val="auto"/>
              </w:rPr>
            </w:pPr>
          </w:p>
        </w:tc>
        <w:tc>
          <w:tcPr>
            <w:tcW w:w="3620" w:type="dxa"/>
            <w:vAlign w:val="bottom"/>
            <w:tcBorders>
              <w:right w:val="single" w:sz="8" w:color="B2B2B2"/>
            </w:tcBorders>
          </w:tcPr>
          <w:p>
            <w:pPr>
              <w:spacing w:after="0"/>
              <w:rPr>
                <w:sz w:val="18"/>
                <w:szCs w:val="18"/>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December 31, 2022</w:t>
            </w:r>
          </w:p>
        </w:tc>
        <w:tc>
          <w:tcPr>
            <w:tcW w:w="3620" w:type="dxa"/>
            <w:vAlign w:val="bottom"/>
            <w:vMerge w:val="restart"/>
          </w:tcPr>
          <w:p>
            <w:pPr>
              <w:ind w:left="80"/>
              <w:spacing w:after="0"/>
              <w:rPr>
                <w:sz w:val="20"/>
                <w:szCs w:val="20"/>
                <w:color w:val="auto"/>
              </w:rPr>
            </w:pPr>
            <w:r>
              <w:rPr>
                <w:rFonts w:ascii="Arial" w:cs="Arial" w:eastAsia="Arial" w:hAnsi="Arial"/>
                <w:sz w:val="16"/>
                <w:szCs w:val="16"/>
                <w:color w:val="auto"/>
              </w:rPr>
              <w:t>December 31, 2022</w:t>
            </w:r>
          </w:p>
        </w:tc>
        <w:tc>
          <w:tcPr>
            <w:tcW w:w="0" w:type="dxa"/>
            <w:vAlign w:val="bottom"/>
          </w:tcPr>
          <w:p>
            <w:pPr>
              <w:spacing w:after="0"/>
              <w:rPr>
                <w:sz w:val="1"/>
                <w:szCs w:val="1"/>
                <w:color w:val="auto"/>
              </w:rPr>
            </w:pPr>
          </w:p>
        </w:tc>
      </w:tr>
      <w:tr>
        <w:trPr>
          <w:trHeight w:val="54"/>
        </w:trPr>
        <w:tc>
          <w:tcPr>
            <w:tcW w:w="140" w:type="dxa"/>
            <w:vAlign w:val="bottom"/>
            <w:tcBorders>
              <w:right w:val="single" w:sz="8" w:color="B2B2B2"/>
            </w:tcBorders>
          </w:tcPr>
          <w:p>
            <w:pPr>
              <w:spacing w:after="0"/>
              <w:rPr>
                <w:sz w:val="4"/>
                <w:szCs w:val="4"/>
                <w:color w:val="auto"/>
              </w:rPr>
            </w:pPr>
          </w:p>
        </w:tc>
        <w:tc>
          <w:tcPr>
            <w:tcW w:w="3620" w:type="dxa"/>
            <w:vAlign w:val="bottom"/>
            <w:tcBorders>
              <w:right w:val="single" w:sz="8" w:color="B2B2B2"/>
            </w:tcBorders>
          </w:tcPr>
          <w:p>
            <w:pPr>
              <w:spacing w:after="0"/>
              <w:rPr>
                <w:sz w:val="4"/>
                <w:szCs w:val="4"/>
                <w:color w:val="auto"/>
              </w:rPr>
            </w:pPr>
          </w:p>
        </w:tc>
        <w:tc>
          <w:tcPr>
            <w:tcW w:w="3640" w:type="dxa"/>
            <w:vAlign w:val="bottom"/>
            <w:tcBorders>
              <w:right w:val="single" w:sz="8" w:color="B2B2B2"/>
            </w:tcBorders>
          </w:tcPr>
          <w:p>
            <w:pPr>
              <w:spacing w:after="0"/>
              <w:rPr>
                <w:sz w:val="4"/>
                <w:szCs w:val="4"/>
                <w:color w:val="auto"/>
              </w:rPr>
            </w:pPr>
          </w:p>
        </w:tc>
        <w:tc>
          <w:tcPr>
            <w:tcW w:w="3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 w:type="dxa"/>
            <w:vAlign w:val="bottom"/>
            <w:tcBorders>
              <w:right w:val="single" w:sz="8" w:color="B2B2B2"/>
            </w:tcBorders>
          </w:tcPr>
          <w:p>
            <w:pPr>
              <w:spacing w:after="0"/>
              <w:rPr>
                <w:sz w:val="24"/>
                <w:szCs w:val="24"/>
                <w:color w:val="auto"/>
              </w:rPr>
            </w:pPr>
          </w:p>
        </w:tc>
        <w:tc>
          <w:tcPr>
            <w:tcW w:w="3620" w:type="dxa"/>
            <w:vAlign w:val="bottom"/>
            <w:tcBorders>
              <w:right w:val="single" w:sz="8" w:color="B2B2B2"/>
            </w:tcBorders>
          </w:tcPr>
          <w:p>
            <w:pPr>
              <w:spacing w:after="0"/>
              <w:rPr>
                <w:sz w:val="24"/>
                <w:szCs w:val="24"/>
                <w:color w:val="auto"/>
              </w:rPr>
            </w:pPr>
          </w:p>
        </w:tc>
        <w:tc>
          <w:tcPr>
            <w:tcW w:w="3640" w:type="dxa"/>
            <w:vAlign w:val="bottom"/>
            <w:tcBorders>
              <w:right w:val="single" w:sz="8" w:color="B2B2B2"/>
            </w:tcBorders>
          </w:tcPr>
          <w:p>
            <w:pPr>
              <w:ind w:left="180"/>
              <w:spacing w:after="0"/>
              <w:rPr>
                <w:sz w:val="20"/>
                <w:szCs w:val="20"/>
                <w:color w:val="auto"/>
              </w:rPr>
            </w:pPr>
            <w:r>
              <w:rPr>
                <w:rFonts w:ascii="Arial" w:cs="Arial" w:eastAsia="Arial" w:hAnsi="Arial"/>
                <w:sz w:val="16"/>
                <w:szCs w:val="16"/>
                <w:color w:val="auto"/>
              </w:rPr>
              <w:t>•  You may indicate that you wish to ABSTAIN</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40" w:type="dxa"/>
            <w:vAlign w:val="bottom"/>
            <w:tcBorders>
              <w:right w:val="single" w:sz="8" w:color="B2B2B2"/>
            </w:tcBorders>
          </w:tcPr>
          <w:p>
            <w:pPr>
              <w:spacing w:after="0"/>
              <w:rPr>
                <w:sz w:val="20"/>
                <w:szCs w:val="20"/>
                <w:color w:val="auto"/>
              </w:rPr>
            </w:pPr>
          </w:p>
        </w:tc>
        <w:tc>
          <w:tcPr>
            <w:tcW w:w="3620" w:type="dxa"/>
            <w:vAlign w:val="bottom"/>
            <w:tcBorders>
              <w:right w:val="single" w:sz="8" w:color="B2B2B2"/>
            </w:tcBorders>
          </w:tcPr>
          <w:p>
            <w:pPr>
              <w:spacing w:after="0"/>
              <w:rPr>
                <w:sz w:val="20"/>
                <w:szCs w:val="20"/>
                <w:color w:val="auto"/>
              </w:rPr>
            </w:pPr>
          </w:p>
        </w:tc>
        <w:tc>
          <w:tcPr>
            <w:tcW w:w="3640" w:type="dxa"/>
            <w:vAlign w:val="bottom"/>
            <w:tcBorders>
              <w:right w:val="single" w:sz="8" w:color="B2B2B2"/>
            </w:tcBorders>
          </w:tcPr>
          <w:p>
            <w:pPr>
              <w:ind w:left="420"/>
              <w:spacing w:after="0"/>
              <w:rPr>
                <w:sz w:val="20"/>
                <w:szCs w:val="20"/>
                <w:color w:val="auto"/>
              </w:rPr>
            </w:pPr>
            <w:r>
              <w:rPr>
                <w:rFonts w:ascii="Arial" w:cs="Arial" w:eastAsia="Arial" w:hAnsi="Arial"/>
                <w:sz w:val="16"/>
                <w:szCs w:val="16"/>
                <w:color w:val="auto"/>
              </w:rPr>
              <w:t>from voting on the matter</w:t>
            </w:r>
          </w:p>
        </w:tc>
        <w:tc>
          <w:tcPr>
            <w:tcW w:w="3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right="880"/>
        <w:spacing w:after="0" w:line="339" w:lineRule="auto"/>
        <w:rPr>
          <w:sz w:val="20"/>
          <w:szCs w:val="20"/>
          <w:color w:val="auto"/>
        </w:rPr>
      </w:pPr>
      <w:r>
        <w:rPr>
          <w:rFonts w:ascii="Arial" w:cs="Arial" w:eastAsia="Arial" w:hAnsi="Arial"/>
          <w:sz w:val="16"/>
          <w:szCs w:val="16"/>
          <w:color w:val="auto"/>
        </w:rPr>
        <w:t>The stockholders will also act on any other business that may properly come before the Annual Meeting or any postponement, continuation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57</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What Is the Voting Requirement to Approve Each of the Proposals?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80" w:type="dxa"/>
            <w:vAlign w:val="bottom"/>
            <w:tcBorders>
              <w:top w:val="single" w:sz="8" w:color="60BAFF"/>
            </w:tcBorders>
          </w:tcPr>
          <w:p>
            <w:pPr>
              <w:spacing w:after="0"/>
              <w:rPr>
                <w:sz w:val="22"/>
                <w:szCs w:val="22"/>
                <w:color w:val="auto"/>
              </w:rPr>
            </w:pPr>
          </w:p>
        </w:tc>
        <w:tc>
          <w:tcPr>
            <w:tcW w:w="1540" w:type="dxa"/>
            <w:vAlign w:val="bottom"/>
            <w:tcBorders>
              <w:top w:val="single" w:sz="8" w:color="60BAFF"/>
              <w:right w:val="single" w:sz="8" w:color="B2B2B2"/>
            </w:tcBorders>
          </w:tcPr>
          <w:p>
            <w:pPr>
              <w:ind w:left="40"/>
              <w:spacing w:after="0"/>
              <w:rPr>
                <w:sz w:val="20"/>
                <w:szCs w:val="20"/>
                <w:color w:val="auto"/>
              </w:rPr>
            </w:pPr>
            <w:r>
              <w:rPr>
                <w:rFonts w:ascii="Arial" w:cs="Arial" w:eastAsia="Arial" w:hAnsi="Arial"/>
                <w:sz w:val="14"/>
                <w:szCs w:val="14"/>
                <w:b w:val="1"/>
                <w:bCs w:val="1"/>
                <w:color w:val="60BAFF"/>
              </w:rPr>
              <w:t>Proposal</w:t>
            </w:r>
          </w:p>
        </w:tc>
        <w:tc>
          <w:tcPr>
            <w:tcW w:w="1860" w:type="dxa"/>
            <w:vAlign w:val="bottom"/>
            <w:tcBorders>
              <w:top w:val="single" w:sz="8" w:color="60BAFF"/>
              <w:right w:val="single" w:sz="8" w:color="B2B2B2"/>
            </w:tcBorders>
          </w:tcPr>
          <w:p>
            <w:pPr>
              <w:ind w:left="480"/>
              <w:spacing w:after="0"/>
              <w:rPr>
                <w:sz w:val="20"/>
                <w:szCs w:val="20"/>
                <w:color w:val="auto"/>
              </w:rPr>
            </w:pPr>
            <w:r>
              <w:rPr>
                <w:rFonts w:ascii="Arial" w:cs="Arial" w:eastAsia="Arial" w:hAnsi="Arial"/>
                <w:sz w:val="14"/>
                <w:szCs w:val="14"/>
                <w:b w:val="1"/>
                <w:bCs w:val="1"/>
                <w:color w:val="60BAFF"/>
              </w:rPr>
              <w:t>Required Vote</w:t>
            </w:r>
          </w:p>
        </w:tc>
        <w:tc>
          <w:tcPr>
            <w:tcW w:w="1860" w:type="dxa"/>
            <w:vAlign w:val="bottom"/>
            <w:tcBorders>
              <w:top w:val="single" w:sz="8" w:color="60BAFF"/>
            </w:tcBorders>
          </w:tcPr>
          <w:p>
            <w:pPr>
              <w:spacing w:after="0"/>
              <w:rPr>
                <w:sz w:val="22"/>
                <w:szCs w:val="22"/>
                <w:color w:val="auto"/>
              </w:rPr>
            </w:pPr>
          </w:p>
        </w:tc>
        <w:tc>
          <w:tcPr>
            <w:tcW w:w="3720" w:type="dxa"/>
            <w:vAlign w:val="bottom"/>
            <w:tcBorders>
              <w:top w:val="single" w:sz="8" w:color="60BAFF"/>
            </w:tcBorders>
            <w:gridSpan w:val="2"/>
          </w:tcPr>
          <w:p>
            <w:pPr>
              <w:ind w:left="1500"/>
              <w:spacing w:after="0"/>
              <w:rPr>
                <w:sz w:val="20"/>
                <w:szCs w:val="20"/>
                <w:color w:val="auto"/>
              </w:rPr>
            </w:pPr>
            <w:r>
              <w:rPr>
                <w:rFonts w:ascii="Arial" w:cs="Arial" w:eastAsia="Arial" w:hAnsi="Arial"/>
                <w:sz w:val="14"/>
                <w:szCs w:val="14"/>
                <w:b w:val="1"/>
                <w:bCs w:val="1"/>
                <w:color w:val="60BAFF"/>
              </w:rPr>
              <w:t>Vote Impact</w:t>
            </w:r>
          </w:p>
        </w:tc>
        <w:tc>
          <w:tcPr>
            <w:tcW w:w="1860" w:type="dxa"/>
            <w:vAlign w:val="bottom"/>
            <w:tcBorders>
              <w:top w:val="single" w:sz="8" w:color="60BAFF"/>
            </w:tcBorders>
          </w:tcPr>
          <w:p>
            <w:pPr>
              <w:spacing w:after="0"/>
              <w:rPr>
                <w:sz w:val="22"/>
                <w:szCs w:val="22"/>
                <w:color w:val="auto"/>
              </w:rPr>
            </w:pPr>
          </w:p>
        </w:tc>
      </w:tr>
      <w:tr>
        <w:trPr>
          <w:trHeight w:val="43"/>
        </w:trPr>
        <w:tc>
          <w:tcPr>
            <w:tcW w:w="180" w:type="dxa"/>
            <w:vAlign w:val="bottom"/>
          </w:tcPr>
          <w:p>
            <w:pPr>
              <w:spacing w:after="0"/>
              <w:rPr>
                <w:sz w:val="3"/>
                <w:szCs w:val="3"/>
                <w:color w:val="auto"/>
              </w:rPr>
            </w:pPr>
          </w:p>
        </w:tc>
        <w:tc>
          <w:tcPr>
            <w:tcW w:w="1540" w:type="dxa"/>
            <w:vAlign w:val="bottom"/>
            <w:tcBorders>
              <w:right w:val="single" w:sz="8" w:color="B2B2B2"/>
            </w:tcBorders>
          </w:tcPr>
          <w:p>
            <w:pPr>
              <w:spacing w:after="0"/>
              <w:rPr>
                <w:sz w:val="3"/>
                <w:szCs w:val="3"/>
                <w:color w:val="auto"/>
              </w:rPr>
            </w:pPr>
          </w:p>
        </w:tc>
        <w:tc>
          <w:tcPr>
            <w:tcW w:w="1860" w:type="dxa"/>
            <w:vAlign w:val="bottom"/>
            <w:tcBorders>
              <w:right w:val="single" w:sz="8" w:color="B2B2B2"/>
            </w:tcBorders>
          </w:tcPr>
          <w:p>
            <w:pPr>
              <w:spacing w:after="0"/>
              <w:rPr>
                <w:sz w:val="3"/>
                <w:szCs w:val="3"/>
                <w:color w:val="auto"/>
              </w:rPr>
            </w:pPr>
          </w:p>
        </w:tc>
        <w:tc>
          <w:tcPr>
            <w:tcW w:w="1860" w:type="dxa"/>
            <w:vAlign w:val="bottom"/>
            <w:tcBorders>
              <w:bottom w:val="single" w:sz="8" w:color="60BAFF"/>
            </w:tcBorders>
          </w:tcPr>
          <w:p>
            <w:pPr>
              <w:spacing w:after="0"/>
              <w:rPr>
                <w:sz w:val="3"/>
                <w:szCs w:val="3"/>
                <w:color w:val="auto"/>
              </w:rPr>
            </w:pPr>
          </w:p>
        </w:tc>
        <w:tc>
          <w:tcPr>
            <w:tcW w:w="1860" w:type="dxa"/>
            <w:vAlign w:val="bottom"/>
            <w:tcBorders>
              <w:bottom w:val="single" w:sz="8" w:color="60BAFF"/>
            </w:tcBorders>
          </w:tcPr>
          <w:p>
            <w:pPr>
              <w:spacing w:after="0"/>
              <w:rPr>
                <w:sz w:val="3"/>
                <w:szCs w:val="3"/>
                <w:color w:val="auto"/>
              </w:rPr>
            </w:pPr>
          </w:p>
        </w:tc>
        <w:tc>
          <w:tcPr>
            <w:tcW w:w="1860" w:type="dxa"/>
            <w:vAlign w:val="bottom"/>
            <w:tcBorders>
              <w:bottom w:val="single" w:sz="8" w:color="60BAFF"/>
            </w:tcBorders>
          </w:tcPr>
          <w:p>
            <w:pPr>
              <w:spacing w:after="0"/>
              <w:rPr>
                <w:sz w:val="3"/>
                <w:szCs w:val="3"/>
                <w:color w:val="auto"/>
              </w:rPr>
            </w:pPr>
          </w:p>
        </w:tc>
        <w:tc>
          <w:tcPr>
            <w:tcW w:w="1860" w:type="dxa"/>
            <w:vAlign w:val="bottom"/>
            <w:tcBorders>
              <w:bottom w:val="single" w:sz="8" w:color="60BAFF"/>
            </w:tcBorders>
          </w:tcPr>
          <w:p>
            <w:pPr>
              <w:spacing w:after="0"/>
              <w:rPr>
                <w:sz w:val="3"/>
                <w:szCs w:val="3"/>
                <w:color w:val="auto"/>
              </w:rPr>
            </w:pPr>
          </w:p>
        </w:tc>
      </w:tr>
      <w:tr>
        <w:trPr>
          <w:trHeight w:val="223"/>
        </w:trPr>
        <w:tc>
          <w:tcPr>
            <w:tcW w:w="180" w:type="dxa"/>
            <w:vAlign w:val="bottom"/>
          </w:tcPr>
          <w:p>
            <w:pPr>
              <w:spacing w:after="0"/>
              <w:rPr>
                <w:sz w:val="19"/>
                <w:szCs w:val="19"/>
                <w:color w:val="auto"/>
              </w:rPr>
            </w:pPr>
          </w:p>
        </w:tc>
        <w:tc>
          <w:tcPr>
            <w:tcW w:w="154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ind w:left="840"/>
              <w:spacing w:after="0"/>
              <w:rPr>
                <w:sz w:val="20"/>
                <w:szCs w:val="20"/>
                <w:color w:val="auto"/>
              </w:rPr>
            </w:pPr>
            <w:r>
              <w:rPr>
                <w:rFonts w:ascii="Arial" w:cs="Arial" w:eastAsia="Arial" w:hAnsi="Arial"/>
                <w:sz w:val="14"/>
                <w:szCs w:val="14"/>
                <w:b w:val="1"/>
                <w:bCs w:val="1"/>
                <w:color w:val="60BAFF"/>
              </w:rPr>
              <w:t>For</w:t>
            </w:r>
          </w:p>
        </w:tc>
        <w:tc>
          <w:tcPr>
            <w:tcW w:w="1860" w:type="dxa"/>
            <w:vAlign w:val="bottom"/>
            <w:tcBorders>
              <w:right w:val="single" w:sz="8" w:color="B2B2B2"/>
            </w:tcBorders>
          </w:tcPr>
          <w:p>
            <w:pPr>
              <w:ind w:left="380"/>
              <w:spacing w:after="0"/>
              <w:rPr>
                <w:sz w:val="20"/>
                <w:szCs w:val="20"/>
                <w:color w:val="auto"/>
              </w:rPr>
            </w:pPr>
            <w:r>
              <w:rPr>
                <w:rFonts w:ascii="Arial" w:cs="Arial" w:eastAsia="Arial" w:hAnsi="Arial"/>
                <w:sz w:val="14"/>
                <w:szCs w:val="14"/>
                <w:b w:val="1"/>
                <w:bCs w:val="1"/>
                <w:color w:val="60BAFF"/>
              </w:rPr>
              <w:t>Withhold/Against</w:t>
            </w:r>
          </w:p>
        </w:tc>
        <w:tc>
          <w:tcPr>
            <w:tcW w:w="1860" w:type="dxa"/>
            <w:vAlign w:val="bottom"/>
            <w:tcBorders>
              <w:right w:val="single" w:sz="8" w:color="B2B2B2"/>
            </w:tcBorders>
          </w:tcPr>
          <w:p>
            <w:pPr>
              <w:ind w:left="700"/>
              <w:spacing w:after="0"/>
              <w:rPr>
                <w:sz w:val="20"/>
                <w:szCs w:val="20"/>
                <w:color w:val="auto"/>
              </w:rPr>
            </w:pPr>
            <w:r>
              <w:rPr>
                <w:rFonts w:ascii="Arial" w:cs="Arial" w:eastAsia="Arial" w:hAnsi="Arial"/>
                <w:sz w:val="14"/>
                <w:szCs w:val="14"/>
                <w:b w:val="1"/>
                <w:bCs w:val="1"/>
                <w:color w:val="60BAFF"/>
              </w:rPr>
              <w:t>Abstain</w:t>
            </w:r>
          </w:p>
        </w:tc>
        <w:tc>
          <w:tcPr>
            <w:tcW w:w="1860" w:type="dxa"/>
            <w:vAlign w:val="bottom"/>
          </w:tcPr>
          <w:p>
            <w:pPr>
              <w:ind w:left="360"/>
              <w:spacing w:after="0"/>
              <w:rPr>
                <w:sz w:val="20"/>
                <w:szCs w:val="20"/>
                <w:color w:val="auto"/>
              </w:rPr>
            </w:pPr>
            <w:r>
              <w:rPr>
                <w:rFonts w:ascii="Arial" w:cs="Arial" w:eastAsia="Arial" w:hAnsi="Arial"/>
                <w:sz w:val="14"/>
                <w:szCs w:val="14"/>
                <w:b w:val="1"/>
                <w:bCs w:val="1"/>
                <w:color w:val="60BAFF"/>
              </w:rPr>
              <w:t>Broker Non-Votes</w:t>
            </w:r>
          </w:p>
        </w:tc>
      </w:tr>
      <w:tr>
        <w:trPr>
          <w:trHeight w:val="216"/>
        </w:trPr>
        <w:tc>
          <w:tcPr>
            <w:tcW w:w="180" w:type="dxa"/>
            <w:vAlign w:val="bottom"/>
            <w:tcBorders>
              <w:top w:val="single" w:sz="8" w:color="60BAFF"/>
              <w:right w:val="single" w:sz="8" w:color="B2B2B2"/>
            </w:tcBorders>
          </w:tcPr>
          <w:p>
            <w:pPr>
              <w:jc w:val="right"/>
              <w:ind w:right="24"/>
              <w:spacing w:after="0"/>
              <w:rPr>
                <w:sz w:val="20"/>
                <w:szCs w:val="20"/>
                <w:color w:val="auto"/>
              </w:rPr>
            </w:pPr>
            <w:r>
              <w:rPr>
                <w:rFonts w:ascii="Arial" w:cs="Arial" w:eastAsia="Arial" w:hAnsi="Arial"/>
                <w:sz w:val="15"/>
                <w:szCs w:val="15"/>
                <w:b w:val="1"/>
                <w:bCs w:val="1"/>
                <w:color w:val="auto"/>
                <w:w w:val="71"/>
              </w:rPr>
              <w:t>1</w:t>
            </w:r>
          </w:p>
        </w:tc>
        <w:tc>
          <w:tcPr>
            <w:tcW w:w="1540" w:type="dxa"/>
            <w:vAlign w:val="bottom"/>
            <w:tcBorders>
              <w:top w:val="single" w:sz="8" w:color="60BAFF"/>
              <w:right w:val="single" w:sz="8" w:color="B2B2B2"/>
            </w:tcBorders>
          </w:tcPr>
          <w:p>
            <w:pPr>
              <w:ind w:left="80"/>
              <w:spacing w:after="0"/>
              <w:rPr>
                <w:sz w:val="20"/>
                <w:szCs w:val="20"/>
                <w:color w:val="auto"/>
              </w:rPr>
            </w:pPr>
            <w:r>
              <w:rPr>
                <w:rFonts w:ascii="Arial" w:cs="Arial" w:eastAsia="Arial" w:hAnsi="Arial"/>
                <w:sz w:val="16"/>
                <w:szCs w:val="16"/>
                <w:b w:val="1"/>
                <w:bCs w:val="1"/>
                <w:color w:val="auto"/>
              </w:rPr>
              <w:t>Election of</w:t>
            </w:r>
          </w:p>
        </w:tc>
        <w:tc>
          <w:tcPr>
            <w:tcW w:w="1860" w:type="dxa"/>
            <w:vAlign w:val="bottom"/>
            <w:tcBorders>
              <w:top w:val="single" w:sz="8" w:color="60BAFF"/>
              <w:right w:val="single" w:sz="8" w:color="B2B2B2"/>
            </w:tcBorders>
          </w:tcPr>
          <w:p>
            <w:pPr>
              <w:ind w:left="80"/>
              <w:spacing w:after="0"/>
              <w:rPr>
                <w:sz w:val="20"/>
                <w:szCs w:val="20"/>
                <w:color w:val="auto"/>
              </w:rPr>
            </w:pPr>
            <w:r>
              <w:rPr>
                <w:rFonts w:ascii="Arial" w:cs="Arial" w:eastAsia="Arial" w:hAnsi="Arial"/>
                <w:sz w:val="16"/>
                <w:szCs w:val="16"/>
                <w:color w:val="auto"/>
              </w:rPr>
              <w:t>Plurality of the votes</w:t>
            </w:r>
          </w:p>
        </w:tc>
        <w:tc>
          <w:tcPr>
            <w:tcW w:w="1860" w:type="dxa"/>
            <w:vAlign w:val="bottom"/>
            <w:tcBorders>
              <w:top w:val="single" w:sz="8" w:color="60BAFF"/>
              <w:right w:val="single" w:sz="8" w:color="B2B2B2"/>
            </w:tcBorders>
          </w:tcPr>
          <w:p>
            <w:pPr>
              <w:ind w:left="80"/>
              <w:spacing w:after="0"/>
              <w:rPr>
                <w:sz w:val="20"/>
                <w:szCs w:val="20"/>
                <w:color w:val="auto"/>
              </w:rPr>
            </w:pPr>
            <w:r>
              <w:rPr>
                <w:rFonts w:ascii="Arial" w:cs="Arial" w:eastAsia="Arial" w:hAnsi="Arial"/>
                <w:sz w:val="16"/>
                <w:szCs w:val="16"/>
                <w:color w:val="auto"/>
              </w:rPr>
              <w:t>For the director</w:t>
            </w:r>
          </w:p>
        </w:tc>
        <w:tc>
          <w:tcPr>
            <w:tcW w:w="1860" w:type="dxa"/>
            <w:vAlign w:val="bottom"/>
            <w:tcBorders>
              <w:top w:val="single" w:sz="8" w:color="60BAFF"/>
              <w:right w:val="single" w:sz="8" w:color="B2B2B2"/>
            </w:tcBorders>
          </w:tcPr>
          <w:p>
            <w:pPr>
              <w:ind w:left="100"/>
              <w:spacing w:after="0"/>
              <w:rPr>
                <w:sz w:val="20"/>
                <w:szCs w:val="20"/>
                <w:color w:val="auto"/>
              </w:rPr>
            </w:pPr>
            <w:r>
              <w:rPr>
                <w:rFonts w:ascii="Arial" w:cs="Arial" w:eastAsia="Arial" w:hAnsi="Arial"/>
                <w:sz w:val="16"/>
                <w:szCs w:val="16"/>
                <w:color w:val="auto"/>
              </w:rPr>
              <w:t>Against the director</w:t>
            </w:r>
          </w:p>
        </w:tc>
        <w:tc>
          <w:tcPr>
            <w:tcW w:w="1860" w:type="dxa"/>
            <w:vAlign w:val="bottom"/>
            <w:tcBorders>
              <w:top w:val="single" w:sz="8" w:color="60BAFF"/>
              <w:right w:val="single" w:sz="8" w:color="B2B2B2"/>
            </w:tcBorders>
          </w:tcPr>
          <w:p>
            <w:pPr>
              <w:ind w:left="10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60BAFF"/>
            </w:tcBorders>
          </w:tcPr>
          <w:p>
            <w:pPr>
              <w:ind w:left="100"/>
              <w:spacing w:after="0"/>
              <w:rPr>
                <w:sz w:val="20"/>
                <w:szCs w:val="20"/>
                <w:color w:val="auto"/>
              </w:rPr>
            </w:pPr>
            <w:r>
              <w:rPr>
                <w:rFonts w:ascii="Arial" w:cs="Arial" w:eastAsia="Arial" w:hAnsi="Arial"/>
                <w:sz w:val="16"/>
                <w:szCs w:val="16"/>
                <w:color w:val="auto"/>
              </w:rPr>
              <w:t>Not a vote cast</w:t>
            </w:r>
          </w:p>
        </w:tc>
      </w:tr>
      <w:tr>
        <w:trPr>
          <w:trHeight w:val="233"/>
        </w:trPr>
        <w:tc>
          <w:tcPr>
            <w:tcW w:w="180" w:type="dxa"/>
            <w:vAlign w:val="bottom"/>
            <w:tcBorders>
              <w:right w:val="single" w:sz="8" w:color="B2B2B2"/>
            </w:tcBorders>
          </w:tcPr>
          <w:p>
            <w:pPr>
              <w:spacing w:after="0"/>
              <w:rPr>
                <w:sz w:val="20"/>
                <w:szCs w:val="20"/>
                <w:color w:val="auto"/>
              </w:rPr>
            </w:pP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Directors</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cast</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nominee(s)</w:t>
            </w:r>
          </w:p>
        </w:tc>
        <w:tc>
          <w:tcPr>
            <w:tcW w:w="1860" w:type="dxa"/>
            <w:vAlign w:val="bottom"/>
            <w:tcBorders>
              <w:right w:val="single" w:sz="8" w:color="B2B2B2"/>
            </w:tcBorders>
          </w:tcPr>
          <w:p>
            <w:pPr>
              <w:ind w:left="100"/>
              <w:spacing w:after="0"/>
              <w:rPr>
                <w:sz w:val="20"/>
                <w:szCs w:val="20"/>
                <w:color w:val="auto"/>
              </w:rPr>
            </w:pPr>
            <w:r>
              <w:rPr>
                <w:rFonts w:ascii="Arial" w:cs="Arial" w:eastAsia="Arial" w:hAnsi="Arial"/>
                <w:sz w:val="16"/>
                <w:szCs w:val="16"/>
                <w:color w:val="auto"/>
              </w:rPr>
              <w:t>nominee(s)</w:t>
            </w:r>
          </w:p>
        </w:tc>
        <w:tc>
          <w:tcPr>
            <w:tcW w:w="1860" w:type="dxa"/>
            <w:vAlign w:val="bottom"/>
            <w:tcBorders>
              <w:right w:val="single" w:sz="8" w:color="B2B2B2"/>
            </w:tcBorders>
          </w:tcPr>
          <w:p>
            <w:pPr>
              <w:spacing w:after="0"/>
              <w:rPr>
                <w:sz w:val="20"/>
                <w:szCs w:val="20"/>
                <w:color w:val="auto"/>
              </w:rPr>
            </w:pPr>
          </w:p>
        </w:tc>
        <w:tc>
          <w:tcPr>
            <w:tcW w:w="1860" w:type="dxa"/>
            <w:vAlign w:val="bottom"/>
          </w:tcPr>
          <w:p>
            <w:pPr>
              <w:spacing w:after="0"/>
              <w:rPr>
                <w:sz w:val="20"/>
                <w:szCs w:val="20"/>
                <w:color w:val="auto"/>
              </w:rPr>
            </w:pPr>
          </w:p>
        </w:tc>
      </w:tr>
      <w:tr>
        <w:trPr>
          <w:trHeight w:val="226"/>
        </w:trPr>
        <w:tc>
          <w:tcPr>
            <w:tcW w:w="180" w:type="dxa"/>
            <w:vAlign w:val="bottom"/>
            <w:tcBorders>
              <w:right w:val="single" w:sz="8" w:color="B2B2B2"/>
            </w:tcBorders>
            <w:shd w:val="clear" w:color="auto" w:fill="F2FFFF"/>
          </w:tcPr>
          <w:p>
            <w:pPr>
              <w:jc w:val="right"/>
              <w:ind w:right="24"/>
              <w:spacing w:after="0"/>
              <w:rPr>
                <w:sz w:val="20"/>
                <w:szCs w:val="20"/>
                <w:color w:val="auto"/>
              </w:rPr>
            </w:pPr>
            <w:r>
              <w:rPr>
                <w:rFonts w:ascii="Arial" w:cs="Arial" w:eastAsia="Arial" w:hAnsi="Arial"/>
                <w:sz w:val="15"/>
                <w:szCs w:val="15"/>
                <w:b w:val="1"/>
                <w:bCs w:val="1"/>
                <w:color w:val="auto"/>
                <w:w w:val="71"/>
              </w:rPr>
              <w:t>2</w:t>
            </w:r>
          </w:p>
        </w:tc>
        <w:tc>
          <w:tcPr>
            <w:tcW w:w="154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Approval of</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Majority of the voting</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For the proposal</w:t>
            </w:r>
          </w:p>
        </w:tc>
        <w:tc>
          <w:tcPr>
            <w:tcW w:w="1860" w:type="dxa"/>
            <w:vAlign w:val="bottom"/>
            <w:tcBorders>
              <w:right w:val="single" w:sz="8" w:color="B2B2B2"/>
            </w:tcBorders>
            <w:shd w:val="clear" w:color="auto" w:fill="F2FFFF"/>
          </w:tcPr>
          <w:p>
            <w:pPr>
              <w:ind w:left="100"/>
              <w:spacing w:after="0"/>
              <w:rPr>
                <w:sz w:val="20"/>
                <w:szCs w:val="20"/>
                <w:color w:val="auto"/>
              </w:rPr>
            </w:pPr>
            <w:r>
              <w:rPr>
                <w:rFonts w:ascii="Arial" w:cs="Arial" w:eastAsia="Arial" w:hAnsi="Arial"/>
                <w:sz w:val="16"/>
                <w:szCs w:val="16"/>
                <w:color w:val="auto"/>
              </w:rPr>
              <w:t>Against the proposal</w:t>
            </w:r>
          </w:p>
        </w:tc>
        <w:tc>
          <w:tcPr>
            <w:tcW w:w="1860" w:type="dxa"/>
            <w:vAlign w:val="bottom"/>
            <w:tcBorders>
              <w:right w:val="single" w:sz="8" w:color="B2B2B2"/>
            </w:tcBorders>
            <w:shd w:val="clear" w:color="auto" w:fill="F2FFFF"/>
          </w:tcPr>
          <w:p>
            <w:pPr>
              <w:ind w:left="100"/>
              <w:spacing w:after="0"/>
              <w:rPr>
                <w:sz w:val="20"/>
                <w:szCs w:val="20"/>
                <w:color w:val="auto"/>
              </w:rPr>
            </w:pPr>
            <w:r>
              <w:rPr>
                <w:rFonts w:ascii="Arial" w:cs="Arial" w:eastAsia="Arial" w:hAnsi="Arial"/>
                <w:sz w:val="16"/>
                <w:szCs w:val="16"/>
                <w:color w:val="auto"/>
              </w:rPr>
              <w:t>Against the proposal</w:t>
            </w:r>
          </w:p>
        </w:tc>
        <w:tc>
          <w:tcPr>
            <w:tcW w:w="1860" w:type="dxa"/>
            <w:vAlign w:val="bottom"/>
            <w:shd w:val="clear" w:color="auto" w:fill="F2FFFF"/>
          </w:tcPr>
          <w:p>
            <w:pPr>
              <w:ind w:left="100"/>
              <w:spacing w:after="0"/>
              <w:rPr>
                <w:sz w:val="20"/>
                <w:szCs w:val="20"/>
                <w:color w:val="auto"/>
              </w:rPr>
            </w:pPr>
            <w:r>
              <w:rPr>
                <w:rFonts w:ascii="Arial" w:cs="Arial" w:eastAsia="Arial" w:hAnsi="Arial"/>
                <w:sz w:val="16"/>
                <w:szCs w:val="16"/>
                <w:color w:val="auto"/>
              </w:rPr>
              <w:t>Against the proposal</w:t>
            </w:r>
          </w:p>
        </w:tc>
      </w:tr>
      <w:tr>
        <w:trPr>
          <w:trHeight w:val="229"/>
        </w:trPr>
        <w:tc>
          <w:tcPr>
            <w:tcW w:w="180" w:type="dxa"/>
            <w:vAlign w:val="bottom"/>
            <w:tcBorders>
              <w:right w:val="single" w:sz="8" w:color="B2B2B2"/>
            </w:tcBorders>
            <w:shd w:val="clear" w:color="auto" w:fill="F2FFFF"/>
          </w:tcPr>
          <w:p>
            <w:pPr>
              <w:spacing w:after="0"/>
              <w:rPr>
                <w:sz w:val="19"/>
                <w:szCs w:val="19"/>
                <w:color w:val="auto"/>
              </w:rPr>
            </w:pPr>
          </w:p>
        </w:tc>
        <w:tc>
          <w:tcPr>
            <w:tcW w:w="154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Amendment to the</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power of shares of</w:t>
            </w: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shd w:val="clear" w:color="auto" w:fill="F2FFFF"/>
          </w:tcPr>
          <w:p>
            <w:pPr>
              <w:spacing w:after="0"/>
              <w:rPr>
                <w:sz w:val="19"/>
                <w:szCs w:val="19"/>
                <w:color w:val="auto"/>
              </w:rPr>
            </w:pPr>
          </w:p>
        </w:tc>
      </w:tr>
      <w:tr>
        <w:trPr>
          <w:trHeight w:val="229"/>
        </w:trPr>
        <w:tc>
          <w:tcPr>
            <w:tcW w:w="180" w:type="dxa"/>
            <w:vAlign w:val="bottom"/>
            <w:tcBorders>
              <w:right w:val="single" w:sz="8" w:color="B2B2B2"/>
            </w:tcBorders>
            <w:shd w:val="clear" w:color="auto" w:fill="F2FFFF"/>
          </w:tcPr>
          <w:p>
            <w:pPr>
              <w:spacing w:after="0"/>
              <w:rPr>
                <w:sz w:val="19"/>
                <w:szCs w:val="19"/>
                <w:color w:val="auto"/>
              </w:rPr>
            </w:pPr>
          </w:p>
        </w:tc>
        <w:tc>
          <w:tcPr>
            <w:tcW w:w="154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NerdWallet, Inc.</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stock present by remote</w:t>
            </w: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shd w:val="clear" w:color="auto" w:fill="F2FFFF"/>
          </w:tcPr>
          <w:p>
            <w:pPr>
              <w:spacing w:after="0"/>
              <w:rPr>
                <w:sz w:val="19"/>
                <w:szCs w:val="19"/>
                <w:color w:val="auto"/>
              </w:rPr>
            </w:pPr>
          </w:p>
        </w:tc>
      </w:tr>
      <w:tr>
        <w:trPr>
          <w:trHeight w:val="230"/>
        </w:trPr>
        <w:tc>
          <w:tcPr>
            <w:tcW w:w="180" w:type="dxa"/>
            <w:vAlign w:val="bottom"/>
            <w:tcBorders>
              <w:right w:val="single" w:sz="8" w:color="B2B2B2"/>
            </w:tcBorders>
            <w:shd w:val="clear" w:color="auto" w:fill="F2FFFF"/>
          </w:tcPr>
          <w:p>
            <w:pPr>
              <w:spacing w:after="0"/>
              <w:rPr>
                <w:sz w:val="19"/>
                <w:szCs w:val="19"/>
                <w:color w:val="auto"/>
              </w:rPr>
            </w:pPr>
          </w:p>
        </w:tc>
        <w:tc>
          <w:tcPr>
            <w:tcW w:w="154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2021 Equity</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communication or</w:t>
            </w: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shd w:val="clear" w:color="auto" w:fill="F2FFFF"/>
          </w:tcPr>
          <w:p>
            <w:pPr>
              <w:spacing w:after="0"/>
              <w:rPr>
                <w:sz w:val="19"/>
                <w:szCs w:val="19"/>
                <w:color w:val="auto"/>
              </w:rPr>
            </w:pPr>
          </w:p>
        </w:tc>
      </w:tr>
      <w:tr>
        <w:trPr>
          <w:trHeight w:val="229"/>
        </w:trPr>
        <w:tc>
          <w:tcPr>
            <w:tcW w:w="180" w:type="dxa"/>
            <w:vAlign w:val="bottom"/>
            <w:tcBorders>
              <w:right w:val="single" w:sz="8" w:color="B2B2B2"/>
            </w:tcBorders>
            <w:shd w:val="clear" w:color="auto" w:fill="F2FFFF"/>
          </w:tcPr>
          <w:p>
            <w:pPr>
              <w:spacing w:after="0"/>
              <w:rPr>
                <w:sz w:val="19"/>
                <w:szCs w:val="19"/>
                <w:color w:val="auto"/>
              </w:rPr>
            </w:pPr>
          </w:p>
        </w:tc>
        <w:tc>
          <w:tcPr>
            <w:tcW w:w="154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b w:val="1"/>
                <w:bCs w:val="1"/>
                <w:color w:val="auto"/>
              </w:rPr>
              <w:t>Incentive Plan</w:t>
            </w: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represented by proxy</w:t>
            </w: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shd w:val="clear" w:color="auto" w:fill="F2FFFF"/>
          </w:tcPr>
          <w:p>
            <w:pPr>
              <w:spacing w:after="0"/>
              <w:rPr>
                <w:sz w:val="19"/>
                <w:szCs w:val="19"/>
                <w:color w:val="auto"/>
              </w:rPr>
            </w:pPr>
          </w:p>
        </w:tc>
      </w:tr>
      <w:tr>
        <w:trPr>
          <w:trHeight w:val="222"/>
        </w:trPr>
        <w:tc>
          <w:tcPr>
            <w:tcW w:w="180" w:type="dxa"/>
            <w:vAlign w:val="bottom"/>
            <w:tcBorders>
              <w:right w:val="single" w:sz="8" w:color="B2B2B2"/>
            </w:tcBorders>
            <w:shd w:val="clear" w:color="auto" w:fill="F2FFFF"/>
          </w:tcPr>
          <w:p>
            <w:pPr>
              <w:spacing w:after="0"/>
              <w:rPr>
                <w:sz w:val="19"/>
                <w:szCs w:val="19"/>
                <w:color w:val="auto"/>
              </w:rPr>
            </w:pPr>
          </w:p>
        </w:tc>
        <w:tc>
          <w:tcPr>
            <w:tcW w:w="154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and entitled to vote</w:t>
            </w: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tcBorders>
              <w:right w:val="single" w:sz="8" w:color="B2B2B2"/>
            </w:tcBorders>
            <w:shd w:val="clear" w:color="auto" w:fill="F2FFFF"/>
          </w:tcPr>
          <w:p>
            <w:pPr>
              <w:spacing w:after="0"/>
              <w:rPr>
                <w:sz w:val="19"/>
                <w:szCs w:val="19"/>
                <w:color w:val="auto"/>
              </w:rPr>
            </w:pPr>
          </w:p>
        </w:tc>
        <w:tc>
          <w:tcPr>
            <w:tcW w:w="1860" w:type="dxa"/>
            <w:vAlign w:val="bottom"/>
            <w:shd w:val="clear" w:color="auto" w:fill="F2FFFF"/>
          </w:tcPr>
          <w:p>
            <w:pPr>
              <w:spacing w:after="0"/>
              <w:rPr>
                <w:sz w:val="19"/>
                <w:szCs w:val="19"/>
                <w:color w:val="auto"/>
              </w:rPr>
            </w:pPr>
          </w:p>
        </w:tc>
      </w:tr>
      <w:tr>
        <w:trPr>
          <w:trHeight w:val="245"/>
        </w:trPr>
        <w:tc>
          <w:tcPr>
            <w:tcW w:w="180" w:type="dxa"/>
            <w:vAlign w:val="bottom"/>
            <w:tcBorders>
              <w:right w:val="single" w:sz="8" w:color="B2B2B2"/>
            </w:tcBorders>
            <w:shd w:val="clear" w:color="auto" w:fill="F2FFFF"/>
          </w:tcPr>
          <w:p>
            <w:pPr>
              <w:spacing w:after="0"/>
              <w:rPr>
                <w:sz w:val="21"/>
                <w:szCs w:val="21"/>
                <w:color w:val="auto"/>
              </w:rPr>
            </w:pPr>
          </w:p>
        </w:tc>
        <w:tc>
          <w:tcPr>
            <w:tcW w:w="1540" w:type="dxa"/>
            <w:vAlign w:val="bottom"/>
            <w:tcBorders>
              <w:right w:val="single" w:sz="8" w:color="B2B2B2"/>
            </w:tcBorders>
            <w:shd w:val="clear" w:color="auto" w:fill="F2FFFF"/>
          </w:tcPr>
          <w:p>
            <w:pPr>
              <w:spacing w:after="0"/>
              <w:rPr>
                <w:sz w:val="21"/>
                <w:szCs w:val="21"/>
                <w:color w:val="auto"/>
              </w:rPr>
            </w:pPr>
          </w:p>
        </w:tc>
        <w:tc>
          <w:tcPr>
            <w:tcW w:w="1860" w:type="dxa"/>
            <w:vAlign w:val="bottom"/>
            <w:tcBorders>
              <w:right w:val="single" w:sz="8" w:color="B2B2B2"/>
            </w:tcBorders>
            <w:shd w:val="clear" w:color="auto" w:fill="F2FFFF"/>
          </w:tcPr>
          <w:p>
            <w:pPr>
              <w:ind w:left="80"/>
              <w:spacing w:after="0"/>
              <w:rPr>
                <w:sz w:val="20"/>
                <w:szCs w:val="20"/>
                <w:color w:val="auto"/>
              </w:rPr>
            </w:pPr>
            <w:r>
              <w:rPr>
                <w:rFonts w:ascii="Arial" w:cs="Arial" w:eastAsia="Arial" w:hAnsi="Arial"/>
                <w:sz w:val="16"/>
                <w:szCs w:val="16"/>
                <w:color w:val="auto"/>
              </w:rPr>
              <w:t>thereon</w:t>
            </w:r>
          </w:p>
        </w:tc>
        <w:tc>
          <w:tcPr>
            <w:tcW w:w="1860" w:type="dxa"/>
            <w:vAlign w:val="bottom"/>
            <w:tcBorders>
              <w:right w:val="single" w:sz="8" w:color="B2B2B2"/>
            </w:tcBorders>
            <w:shd w:val="clear" w:color="auto" w:fill="F2FFFF"/>
          </w:tcPr>
          <w:p>
            <w:pPr>
              <w:spacing w:after="0"/>
              <w:rPr>
                <w:sz w:val="21"/>
                <w:szCs w:val="21"/>
                <w:color w:val="auto"/>
              </w:rPr>
            </w:pPr>
          </w:p>
        </w:tc>
        <w:tc>
          <w:tcPr>
            <w:tcW w:w="1860" w:type="dxa"/>
            <w:vAlign w:val="bottom"/>
            <w:tcBorders>
              <w:right w:val="single" w:sz="8" w:color="B2B2B2"/>
            </w:tcBorders>
            <w:shd w:val="clear" w:color="auto" w:fill="F2FFFF"/>
          </w:tcPr>
          <w:p>
            <w:pPr>
              <w:spacing w:after="0"/>
              <w:rPr>
                <w:sz w:val="21"/>
                <w:szCs w:val="21"/>
                <w:color w:val="auto"/>
              </w:rPr>
            </w:pPr>
          </w:p>
        </w:tc>
        <w:tc>
          <w:tcPr>
            <w:tcW w:w="1860" w:type="dxa"/>
            <w:vAlign w:val="bottom"/>
            <w:tcBorders>
              <w:right w:val="single" w:sz="8" w:color="B2B2B2"/>
            </w:tcBorders>
            <w:shd w:val="clear" w:color="auto" w:fill="F2FFFF"/>
          </w:tcPr>
          <w:p>
            <w:pPr>
              <w:spacing w:after="0"/>
              <w:rPr>
                <w:sz w:val="21"/>
                <w:szCs w:val="21"/>
                <w:color w:val="auto"/>
              </w:rPr>
            </w:pPr>
          </w:p>
        </w:tc>
        <w:tc>
          <w:tcPr>
            <w:tcW w:w="1860" w:type="dxa"/>
            <w:vAlign w:val="bottom"/>
            <w:shd w:val="clear" w:color="auto" w:fill="F2FFFF"/>
          </w:tcPr>
          <w:p>
            <w:pPr>
              <w:spacing w:after="0"/>
              <w:rPr>
                <w:sz w:val="21"/>
                <w:szCs w:val="21"/>
                <w:color w:val="auto"/>
              </w:rPr>
            </w:pPr>
          </w:p>
        </w:tc>
      </w:tr>
      <w:tr>
        <w:trPr>
          <w:trHeight w:val="223"/>
        </w:trPr>
        <w:tc>
          <w:tcPr>
            <w:tcW w:w="180" w:type="dxa"/>
            <w:vAlign w:val="bottom"/>
            <w:tcBorders>
              <w:right w:val="single" w:sz="8" w:color="B2B2B2"/>
            </w:tcBorders>
          </w:tcPr>
          <w:p>
            <w:pPr>
              <w:jc w:val="right"/>
              <w:ind w:right="24"/>
              <w:spacing w:after="0"/>
              <w:rPr>
                <w:sz w:val="20"/>
                <w:szCs w:val="20"/>
                <w:color w:val="auto"/>
              </w:rPr>
            </w:pPr>
            <w:r>
              <w:rPr>
                <w:rFonts w:ascii="Arial" w:cs="Arial" w:eastAsia="Arial" w:hAnsi="Arial"/>
                <w:sz w:val="15"/>
                <w:szCs w:val="15"/>
                <w:b w:val="1"/>
                <w:bCs w:val="1"/>
                <w:color w:val="auto"/>
                <w:w w:val="71"/>
              </w:rPr>
              <w:t>3</w:t>
            </w: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Ratification of</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Majority of the voting</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For the proposal</w:t>
            </w:r>
          </w:p>
        </w:tc>
        <w:tc>
          <w:tcPr>
            <w:tcW w:w="1860" w:type="dxa"/>
            <w:vAlign w:val="bottom"/>
            <w:tcBorders>
              <w:right w:val="single" w:sz="8" w:color="B2B2B2"/>
            </w:tcBorders>
          </w:tcPr>
          <w:p>
            <w:pPr>
              <w:ind w:left="100"/>
              <w:spacing w:after="0"/>
              <w:rPr>
                <w:sz w:val="20"/>
                <w:szCs w:val="20"/>
                <w:color w:val="auto"/>
              </w:rPr>
            </w:pPr>
            <w:r>
              <w:rPr>
                <w:rFonts w:ascii="Arial" w:cs="Arial" w:eastAsia="Arial" w:hAnsi="Arial"/>
                <w:sz w:val="16"/>
                <w:szCs w:val="16"/>
                <w:color w:val="auto"/>
              </w:rPr>
              <w:t>Against the proposal</w:t>
            </w:r>
          </w:p>
        </w:tc>
        <w:tc>
          <w:tcPr>
            <w:tcW w:w="1860" w:type="dxa"/>
            <w:vAlign w:val="bottom"/>
            <w:tcBorders>
              <w:right w:val="single" w:sz="8" w:color="B2B2B2"/>
            </w:tcBorders>
          </w:tcPr>
          <w:p>
            <w:pPr>
              <w:ind w:left="100"/>
              <w:spacing w:after="0"/>
              <w:rPr>
                <w:sz w:val="20"/>
                <w:szCs w:val="20"/>
                <w:color w:val="auto"/>
              </w:rPr>
            </w:pPr>
            <w:r>
              <w:rPr>
                <w:rFonts w:ascii="Arial" w:cs="Arial" w:eastAsia="Arial" w:hAnsi="Arial"/>
                <w:sz w:val="16"/>
                <w:szCs w:val="16"/>
                <w:color w:val="auto"/>
              </w:rPr>
              <w:t>Against the proposal</w:t>
            </w:r>
          </w:p>
        </w:tc>
        <w:tc>
          <w:tcPr>
            <w:tcW w:w="186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29"/>
        </w:trPr>
        <w:tc>
          <w:tcPr>
            <w:tcW w:w="180" w:type="dxa"/>
            <w:vAlign w:val="bottom"/>
            <w:tcBorders>
              <w:right w:val="single" w:sz="8" w:color="B2B2B2"/>
            </w:tcBorders>
          </w:tcPr>
          <w:p>
            <w:pPr>
              <w:spacing w:after="0"/>
              <w:rPr>
                <w:sz w:val="19"/>
                <w:szCs w:val="19"/>
                <w:color w:val="auto"/>
              </w:rPr>
            </w:pP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Appointment of</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power of shares of</w:t>
            </w: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80" w:type="dxa"/>
            <w:vAlign w:val="bottom"/>
            <w:tcBorders>
              <w:right w:val="single" w:sz="8" w:color="B2B2B2"/>
            </w:tcBorders>
          </w:tcPr>
          <w:p>
            <w:pPr>
              <w:spacing w:after="0"/>
              <w:rPr>
                <w:sz w:val="19"/>
                <w:szCs w:val="19"/>
                <w:color w:val="auto"/>
              </w:rPr>
            </w:pP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Independent</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stock present by remote</w:t>
            </w: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180" w:type="dxa"/>
            <w:vAlign w:val="bottom"/>
            <w:tcBorders>
              <w:right w:val="single" w:sz="8" w:color="B2B2B2"/>
            </w:tcBorders>
          </w:tcPr>
          <w:p>
            <w:pPr>
              <w:spacing w:after="0"/>
              <w:rPr>
                <w:sz w:val="19"/>
                <w:szCs w:val="19"/>
                <w:color w:val="auto"/>
              </w:rPr>
            </w:pP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Registered Public</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communication or</w:t>
            </w: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180" w:type="dxa"/>
            <w:vAlign w:val="bottom"/>
            <w:tcBorders>
              <w:right w:val="single" w:sz="8" w:color="B2B2B2"/>
            </w:tcBorders>
          </w:tcPr>
          <w:p>
            <w:pPr>
              <w:spacing w:after="0"/>
              <w:rPr>
                <w:sz w:val="19"/>
                <w:szCs w:val="19"/>
                <w:color w:val="auto"/>
              </w:rPr>
            </w:pPr>
          </w:p>
        </w:tc>
        <w:tc>
          <w:tcPr>
            <w:tcW w:w="1540" w:type="dxa"/>
            <w:vAlign w:val="bottom"/>
            <w:tcBorders>
              <w:right w:val="single" w:sz="8" w:color="B2B2B2"/>
            </w:tcBorders>
          </w:tcPr>
          <w:p>
            <w:pPr>
              <w:ind w:left="80"/>
              <w:spacing w:after="0"/>
              <w:rPr>
                <w:sz w:val="20"/>
                <w:szCs w:val="20"/>
                <w:color w:val="auto"/>
              </w:rPr>
            </w:pPr>
            <w:r>
              <w:rPr>
                <w:rFonts w:ascii="Arial" w:cs="Arial" w:eastAsia="Arial" w:hAnsi="Arial"/>
                <w:sz w:val="16"/>
                <w:szCs w:val="16"/>
                <w:b w:val="1"/>
                <w:bCs w:val="1"/>
                <w:color w:val="auto"/>
              </w:rPr>
              <w:t>Accounting Firm</w:t>
            </w: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represented by proxy</w:t>
            </w: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Pr>
          <w:p>
            <w:pPr>
              <w:spacing w:after="0"/>
              <w:rPr>
                <w:sz w:val="19"/>
                <w:szCs w:val="19"/>
                <w:color w:val="auto"/>
              </w:rPr>
            </w:pPr>
          </w:p>
        </w:tc>
      </w:tr>
      <w:tr>
        <w:trPr>
          <w:trHeight w:val="221"/>
        </w:trPr>
        <w:tc>
          <w:tcPr>
            <w:tcW w:w="180" w:type="dxa"/>
            <w:vAlign w:val="bottom"/>
            <w:tcBorders>
              <w:right w:val="single" w:sz="8" w:color="B2B2B2"/>
            </w:tcBorders>
          </w:tcPr>
          <w:p>
            <w:pPr>
              <w:spacing w:after="0"/>
              <w:rPr>
                <w:sz w:val="19"/>
                <w:szCs w:val="19"/>
                <w:color w:val="auto"/>
              </w:rPr>
            </w:pPr>
          </w:p>
        </w:tc>
        <w:tc>
          <w:tcPr>
            <w:tcW w:w="154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and entitled to vote</w:t>
            </w: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Borders>
              <w:right w:val="single" w:sz="8" w:color="B2B2B2"/>
            </w:tcBorders>
          </w:tcPr>
          <w:p>
            <w:pPr>
              <w:spacing w:after="0"/>
              <w:rPr>
                <w:sz w:val="19"/>
                <w:szCs w:val="19"/>
                <w:color w:val="auto"/>
              </w:rPr>
            </w:pPr>
          </w:p>
        </w:tc>
        <w:tc>
          <w:tcPr>
            <w:tcW w:w="1860" w:type="dxa"/>
            <w:vAlign w:val="bottom"/>
          </w:tcPr>
          <w:p>
            <w:pPr>
              <w:spacing w:after="0"/>
              <w:rPr>
                <w:sz w:val="19"/>
                <w:szCs w:val="19"/>
                <w:color w:val="auto"/>
              </w:rPr>
            </w:pPr>
          </w:p>
        </w:tc>
      </w:tr>
      <w:tr>
        <w:trPr>
          <w:trHeight w:val="245"/>
        </w:trPr>
        <w:tc>
          <w:tcPr>
            <w:tcW w:w="180" w:type="dxa"/>
            <w:vAlign w:val="bottom"/>
            <w:tcBorders>
              <w:right w:val="single" w:sz="8" w:color="B2B2B2"/>
            </w:tcBorders>
          </w:tcPr>
          <w:p>
            <w:pPr>
              <w:spacing w:after="0"/>
              <w:rPr>
                <w:sz w:val="21"/>
                <w:szCs w:val="21"/>
                <w:color w:val="auto"/>
              </w:rPr>
            </w:pPr>
          </w:p>
        </w:tc>
        <w:tc>
          <w:tcPr>
            <w:tcW w:w="1540" w:type="dxa"/>
            <w:vAlign w:val="bottom"/>
            <w:tcBorders>
              <w:right w:val="single" w:sz="8" w:color="B2B2B2"/>
            </w:tcBorders>
          </w:tcPr>
          <w:p>
            <w:pPr>
              <w:spacing w:after="0"/>
              <w:rPr>
                <w:sz w:val="21"/>
                <w:szCs w:val="21"/>
                <w:color w:val="auto"/>
              </w:rPr>
            </w:pPr>
          </w:p>
        </w:tc>
        <w:tc>
          <w:tcPr>
            <w:tcW w:w="1860" w:type="dxa"/>
            <w:vAlign w:val="bottom"/>
            <w:tcBorders>
              <w:right w:val="single" w:sz="8" w:color="B2B2B2"/>
            </w:tcBorders>
          </w:tcPr>
          <w:p>
            <w:pPr>
              <w:ind w:left="80"/>
              <w:spacing w:after="0"/>
              <w:rPr>
                <w:sz w:val="20"/>
                <w:szCs w:val="20"/>
                <w:color w:val="auto"/>
              </w:rPr>
            </w:pPr>
            <w:r>
              <w:rPr>
                <w:rFonts w:ascii="Arial" w:cs="Arial" w:eastAsia="Arial" w:hAnsi="Arial"/>
                <w:sz w:val="16"/>
                <w:szCs w:val="16"/>
                <w:color w:val="auto"/>
              </w:rPr>
              <w:t>thereon</w:t>
            </w:r>
          </w:p>
        </w:tc>
        <w:tc>
          <w:tcPr>
            <w:tcW w:w="1860" w:type="dxa"/>
            <w:vAlign w:val="bottom"/>
            <w:tcBorders>
              <w:right w:val="single" w:sz="8" w:color="B2B2B2"/>
            </w:tcBorders>
          </w:tcPr>
          <w:p>
            <w:pPr>
              <w:spacing w:after="0"/>
              <w:rPr>
                <w:sz w:val="21"/>
                <w:szCs w:val="21"/>
                <w:color w:val="auto"/>
              </w:rPr>
            </w:pPr>
          </w:p>
        </w:tc>
        <w:tc>
          <w:tcPr>
            <w:tcW w:w="1860" w:type="dxa"/>
            <w:vAlign w:val="bottom"/>
            <w:tcBorders>
              <w:right w:val="single" w:sz="8" w:color="B2B2B2"/>
            </w:tcBorders>
          </w:tcPr>
          <w:p>
            <w:pPr>
              <w:spacing w:after="0"/>
              <w:rPr>
                <w:sz w:val="21"/>
                <w:szCs w:val="21"/>
                <w:color w:val="auto"/>
              </w:rPr>
            </w:pPr>
          </w:p>
        </w:tc>
        <w:tc>
          <w:tcPr>
            <w:tcW w:w="1860" w:type="dxa"/>
            <w:vAlign w:val="bottom"/>
            <w:tcBorders>
              <w:right w:val="single" w:sz="8" w:color="B2B2B2"/>
            </w:tcBorders>
          </w:tcPr>
          <w:p>
            <w:pPr>
              <w:spacing w:after="0"/>
              <w:rPr>
                <w:sz w:val="21"/>
                <w:szCs w:val="21"/>
                <w:color w:val="auto"/>
              </w:rPr>
            </w:pPr>
          </w:p>
        </w:tc>
        <w:tc>
          <w:tcPr>
            <w:tcW w:w="1860" w:type="dxa"/>
            <w:vAlign w:val="bottom"/>
          </w:tcPr>
          <w:p>
            <w:pPr>
              <w:spacing w:after="0"/>
              <w:rPr>
                <w:sz w:val="21"/>
                <w:szCs w:val="21"/>
                <w:color w:val="auto"/>
              </w:rPr>
            </w:pPr>
          </w:p>
        </w:tc>
      </w:tr>
    </w:tbl>
    <w:p>
      <w:pPr>
        <w:spacing w:after="0" w:line="215" w:lineRule="exact"/>
        <w:rPr>
          <w:sz w:val="20"/>
          <w:szCs w:val="20"/>
          <w:color w:val="auto"/>
        </w:rPr>
      </w:pPr>
    </w:p>
    <w:p>
      <w:pPr>
        <w:ind w:left="120" w:right="140"/>
        <w:spacing w:after="0" w:line="339" w:lineRule="auto"/>
        <w:rPr>
          <w:sz w:val="20"/>
          <w:szCs w:val="20"/>
          <w:color w:val="auto"/>
        </w:rPr>
      </w:pPr>
      <w:r>
        <w:rPr>
          <w:rFonts w:ascii="Arial" w:cs="Arial" w:eastAsia="Arial" w:hAnsi="Arial"/>
          <w:sz w:val="16"/>
          <w:szCs w:val="16"/>
          <w:color w:val="auto"/>
        </w:rPr>
        <w:t>Although the advisory vote in Proposal No. 3 is not binding, our Board and its respective committees will take your vote into consideration in determining future activities.</w:t>
      </w:r>
    </w:p>
    <w:p>
      <w:pPr>
        <w:spacing w:after="0" w:line="155" w:lineRule="exact"/>
        <w:rPr>
          <w:sz w:val="20"/>
          <w:szCs w:val="20"/>
          <w:color w:val="auto"/>
        </w:rPr>
      </w:pPr>
    </w:p>
    <w:p>
      <w:pPr>
        <w:ind w:left="120" w:right="60"/>
        <w:spacing w:after="0" w:line="307" w:lineRule="auto"/>
        <w:rPr>
          <w:sz w:val="20"/>
          <w:szCs w:val="20"/>
          <w:color w:val="auto"/>
        </w:rPr>
      </w:pPr>
      <w:r>
        <w:rPr>
          <w:rFonts w:ascii="Arial" w:cs="Arial" w:eastAsia="Arial" w:hAnsi="Arial"/>
          <w:sz w:val="16"/>
          <w:szCs w:val="16"/>
          <w:color w:val="auto"/>
        </w:rPr>
        <w:t>If any other matter is properly submitted to the stockholders at the annual meeting, its adoption generally will require the affirmative vote of the majority of the voting power of shares of stock present by remote communication or represented by proxy and entitled to vote on the matter. As of the date of this proxy statement, our Board knows of no matter that will be presented for action by the stockholders at the annual meeting other than those discussed in this proxy statement. If any other matter requiring a vote of the stockholders properly comes before the annual meeting, the individuals acting under the proxies solicited by our Board will vote and act as our Board recommends or, if our Board gives no recommendation, according to their best judgments in light of the conditions then prevailing, to the extent permitted under applicable law.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Why did I receive more than one set of voting materials?</w:t>
      </w:r>
    </w:p>
    <w:p>
      <w:pPr>
        <w:spacing w:after="0" w:line="249" w:lineRule="exact"/>
        <w:rPr>
          <w:sz w:val="20"/>
          <w:szCs w:val="20"/>
          <w:color w:val="auto"/>
        </w:rPr>
      </w:pPr>
    </w:p>
    <w:p>
      <w:pPr>
        <w:ind w:left="120" w:right="80"/>
        <w:spacing w:after="0" w:line="319" w:lineRule="auto"/>
        <w:rPr>
          <w:sz w:val="20"/>
          <w:szCs w:val="20"/>
          <w:color w:val="auto"/>
        </w:rPr>
      </w:pPr>
      <w:r>
        <w:rPr>
          <w:rFonts w:ascii="Arial" w:cs="Arial" w:eastAsia="Arial" w:hAnsi="Arial"/>
          <w:sz w:val="16"/>
          <w:szCs w:val="16"/>
          <w:color w:val="auto"/>
        </w:rPr>
        <w:t>If you receive more than one Notice of Internet Availability of Proxy Materials, proxy card or voting instruction card, it means that you have multiple accounts with banks, brokers, other nominees and/or our transfer agent. Please take action with respect to each Notice, proxy card and voting instruction card that you receive.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Where can I find the voting results for the 2022 Annual Meeting?</w:t>
      </w:r>
    </w:p>
    <w:p>
      <w:pPr>
        <w:spacing w:after="0" w:line="249"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color w:val="auto"/>
        </w:rPr>
        <w:t>The Inspector of Elections appointed at the Annual Meeting will tabulate the voting results. We intend to disclose the final voting results in a current report on Form 8-K within four business days of the Annual Meeting. To the extent final voting results are not then available, we will report preliminary voting results in a current report on Form 8-K within four business days of the Annual Meeting and report the final voting results in a current report on Form 8-K as soon as they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80" w:hanging="741"/>
        <w:spacing w:after="0"/>
        <w:tabs>
          <w:tab w:leader="none" w:pos="108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666666"/>
        </w:rPr>
        <w:t>QUESTIONS AND ANSWERS ABOUT THE PROXY MATERIALS AND 2022 ANNUAL MEETING</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Has The Company Taken Steps to Eliminate the Receipt of Duplicative Proxy Materials?</w:t>
      </w:r>
    </w:p>
    <w:p>
      <w:pPr>
        <w:spacing w:after="0" w:line="249" w:lineRule="exact"/>
        <w:rPr>
          <w:sz w:val="20"/>
          <w:szCs w:val="20"/>
          <w:color w:val="auto"/>
        </w:rPr>
      </w:pPr>
    </w:p>
    <w:p>
      <w:pPr>
        <w:ind w:left="120" w:right="100"/>
        <w:spacing w:after="0" w:line="309" w:lineRule="auto"/>
        <w:rPr>
          <w:sz w:val="20"/>
          <w:szCs w:val="20"/>
          <w:color w:val="auto"/>
        </w:rPr>
      </w:pPr>
      <w:r>
        <w:rPr>
          <w:rFonts w:ascii="Arial" w:cs="Arial" w:eastAsia="Arial" w:hAnsi="Arial"/>
          <w:sz w:val="16"/>
          <w:szCs w:val="16"/>
          <w:color w:val="auto"/>
        </w:rPr>
        <w:t>In order to reduce expenses, we are taking advantage of certain SEC rules, commonly known as “householding,” that permit us to send: (i) a single annual report and/or a single proxy statement or (ii) a single Notice of Internet Availability of Proxy Materials to multiple stockholders of record who share an address, unless we have received contrary instructions from one or more of the stockholders. A stockholder of record at a shared address may request additional copies of the annual report, proxy statement or Notice of Internet Availability of Proxy Materials: (1) online through www.investorelections.com/NRDS; (2) via email at paper@investorelections.com or (3) by phone at (866) 648-8133.</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you are a beneficial owner, you may revoke your consent to householding by notifying your broker, bank or other nominee.</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Will A List of Company Stockholders Be Available to Inspect?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list of our stockholders as of the record date will be available for examination at www.proxydocs.com/NRDS .</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Who Should I Call If I Have Any Questions?</w:t>
      </w:r>
    </w:p>
    <w:p>
      <w:pPr>
        <w:spacing w:after="0" w:line="249" w:lineRule="exact"/>
        <w:rPr>
          <w:sz w:val="20"/>
          <w:szCs w:val="20"/>
          <w:color w:val="auto"/>
        </w:rPr>
      </w:pPr>
    </w:p>
    <w:p>
      <w:pPr>
        <w:ind w:left="120" w:right="160"/>
        <w:spacing w:after="0" w:line="312" w:lineRule="auto"/>
        <w:rPr>
          <w:sz w:val="20"/>
          <w:szCs w:val="20"/>
          <w:color w:val="auto"/>
        </w:rPr>
      </w:pPr>
      <w:r>
        <w:rPr>
          <w:rFonts w:ascii="Arial" w:cs="Arial" w:eastAsia="Arial" w:hAnsi="Arial"/>
          <w:sz w:val="16"/>
          <w:szCs w:val="16"/>
          <w:color w:val="auto"/>
        </w:rPr>
        <w:t xml:space="preserve">If you have any questions about the Annual Meeting, please contact our General Counsel and Corporate Secretary by email at </w:t>
      </w:r>
      <w:r>
        <w:rPr>
          <w:rFonts w:ascii="Arial" w:cs="Arial" w:eastAsia="Arial" w:hAnsi="Arial"/>
          <w:sz w:val="16"/>
          <w:szCs w:val="16"/>
          <w:u w:val="single" w:color="auto"/>
          <w:color w:val="auto"/>
        </w:rPr>
        <w:t>generalcounsel@nerdwallet.com</w:t>
      </w:r>
      <w:r>
        <w:rPr>
          <w:rFonts w:ascii="Arial" w:cs="Arial" w:eastAsia="Arial" w:hAnsi="Arial"/>
          <w:sz w:val="16"/>
          <w:szCs w:val="16"/>
          <w:color w:val="auto"/>
        </w:rPr>
        <w:t>. If you have any questions about your ownership of our common stock, please contact our transfer agent, Broadridge, via email at shareholder@broadridge.com, by telephone at +1 (844) 998-0339 or visit shareholder.broadridge.com, or contact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59</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66666"/>
        </w:rPr>
        <w:t>OTHER MATTERS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50"/>
          <w:szCs w:val="50"/>
          <w:color w:val="auto"/>
        </w:rPr>
        <w:t>Other Matters</w:t>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Presentation of Stockholder Proposals and Nominations at 2023 Annual Meeting</w:t>
      </w:r>
    </w:p>
    <w:p>
      <w:pPr>
        <w:spacing w:after="0" w:line="249" w:lineRule="exact"/>
        <w:rPr>
          <w:sz w:val="20"/>
          <w:szCs w:val="20"/>
          <w:color w:val="auto"/>
        </w:rPr>
      </w:pPr>
    </w:p>
    <w:p>
      <w:pPr>
        <w:ind w:left="120"/>
        <w:spacing w:after="0" w:line="270" w:lineRule="auto"/>
        <w:rPr>
          <w:sz w:val="20"/>
          <w:szCs w:val="20"/>
          <w:color w:val="auto"/>
        </w:rPr>
      </w:pPr>
      <w:r>
        <w:rPr>
          <w:rFonts w:ascii="Arial" w:cs="Arial" w:eastAsia="Arial" w:hAnsi="Arial"/>
          <w:sz w:val="16"/>
          <w:szCs w:val="16"/>
          <w:color w:val="auto"/>
        </w:rPr>
        <w:t>Stockholders who wish to nominate persons for election to our Board or propose other matters to be considered at our 2023 annual meeting of stockholders (other than Rule 14a-8 stockholder proposals, discussed below) must provide us advance notice of the director nomination or stockholder proposal, as well as the information specified in our Amended and Restated Bylaws. This notice must be received by the Company’s Secretary at our San Francisco office located at 55 Hawthorne Street,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 San Francisco, CA 94105 no earlier than January 25, 2023 and no later than February 24, 2023. Stockholders are advised to review our Amended and Restated Bylaws, which contain the requirements for advance notice of director nominations and stockholder proposals.</w:t>
      </w:r>
    </w:p>
    <w:p>
      <w:pPr>
        <w:spacing w:after="0" w:line="209" w:lineRule="exact"/>
        <w:rPr>
          <w:sz w:val="20"/>
          <w:szCs w:val="20"/>
          <w:color w:val="auto"/>
        </w:rPr>
      </w:pPr>
    </w:p>
    <w:p>
      <w:pPr>
        <w:ind w:left="120" w:right="140"/>
        <w:spacing w:after="0" w:line="307" w:lineRule="auto"/>
        <w:rPr>
          <w:sz w:val="20"/>
          <w:szCs w:val="20"/>
          <w:color w:val="auto"/>
        </w:rPr>
      </w:pPr>
      <w:r>
        <w:rPr>
          <w:rFonts w:ascii="Arial" w:cs="Arial" w:eastAsia="Arial" w:hAnsi="Arial"/>
          <w:sz w:val="16"/>
          <w:szCs w:val="16"/>
          <w:color w:val="auto"/>
        </w:rPr>
        <w:t>The requirements for advance notice of stockholder proposals under our Amended and Restated Bylaws do not apply to proposals properly submitted under Rule 14a-8 under the Exchange Act. The deadline for stockholders to submit proposals to be included in our proxy statement for our 2023 annual meeting of stockholders under Rule 14a-8 under the Exchange Act is December 15, 2022. However, if the date of the 2023 annual meeting of stockholders is changed by more than 30 days from the date of the previous year’s meeting, then the deadline is a reasonable time before we begin to print and send our proxy statement for the 2023 annual meeting of stockholders. Proposals by stockholders must comply with all requirements of applicable rules of the SEC, including Rule 14a-8, and be mailed to the Company’s Secretary at the Company’s San Francisco office on a timely basis.</w:t>
      </w:r>
    </w:p>
    <w:p>
      <w:pPr>
        <w:spacing w:after="0" w:line="181"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color w:val="auto"/>
        </w:rPr>
        <w:t>Submitting a stockholder proposal does not guarantee that we will include it in the Company’s proxy statement. We reserve the right to reject, rule out of order or take other appropriate action with respect to any director nomination or stockholder proposal that does not comply with our Amended and Restated Bylaws or Rule 14a-8, as applicable, and other applicable requirements.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Access to Reports and Other Information</w:t>
      </w:r>
    </w:p>
    <w:p>
      <w:pPr>
        <w:spacing w:after="0" w:line="249" w:lineRule="exact"/>
        <w:rPr>
          <w:sz w:val="20"/>
          <w:szCs w:val="20"/>
          <w:color w:val="auto"/>
        </w:rPr>
      </w:pPr>
    </w:p>
    <w:p>
      <w:pPr>
        <w:ind w:left="120" w:right="140"/>
        <w:spacing w:after="0" w:line="319" w:lineRule="auto"/>
        <w:rPr>
          <w:sz w:val="20"/>
          <w:szCs w:val="20"/>
          <w:color w:val="auto"/>
        </w:rPr>
      </w:pPr>
      <w:r>
        <w:rPr>
          <w:rFonts w:ascii="Arial" w:cs="Arial" w:eastAsia="Arial" w:hAnsi="Arial"/>
          <w:sz w:val="16"/>
          <w:szCs w:val="16"/>
          <w:color w:val="auto"/>
        </w:rPr>
        <w:t>Our annual report on Form 10-K, quarterly reports on Form 10-Q, current reports on Form 8-K, proxy statements and other documents filed or furnished pursuant to Section 13(a) or 15(d) of the Exchange Act are available on the SEC’s website at www.sec.gov. and may also be accessed on our website https://investors.nerdwallet.com/ as soon as reasonably practicable after we electronically file such material with, or furnish it to, the SEC.</w:t>
      </w:r>
    </w:p>
    <w:p>
      <w:pPr>
        <w:spacing w:after="0" w:line="171" w:lineRule="exact"/>
        <w:rPr>
          <w:sz w:val="20"/>
          <w:szCs w:val="20"/>
          <w:color w:val="auto"/>
        </w:rPr>
      </w:pPr>
    </w:p>
    <w:p>
      <w:pPr>
        <w:jc w:val="both"/>
        <w:ind w:left="120" w:right="180"/>
        <w:spacing w:after="0" w:line="319" w:lineRule="auto"/>
        <w:rPr>
          <w:sz w:val="20"/>
          <w:szCs w:val="20"/>
          <w:color w:val="auto"/>
        </w:rPr>
      </w:pPr>
      <w:r>
        <w:rPr>
          <w:rFonts w:ascii="Arial" w:cs="Arial" w:eastAsia="Arial" w:hAnsi="Arial"/>
          <w:sz w:val="16"/>
          <w:szCs w:val="16"/>
          <w:color w:val="auto"/>
        </w:rPr>
        <w:t>Our Corporate Governance Guidelines, Code of Business Conduct and Board committee charters are also available on our website. Our website or the websites of other third parties noted herein and the information contained on, or that can be accessed through, such websites will not be deemed to be incorporated by reference in, and are not considered part of, this proxy statement.</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Forward-Looking Statements</w:t>
      </w:r>
    </w:p>
    <w:p>
      <w:pPr>
        <w:spacing w:after="0" w:line="249" w:lineRule="exact"/>
        <w:rPr>
          <w:sz w:val="20"/>
          <w:szCs w:val="20"/>
          <w:color w:val="auto"/>
        </w:rPr>
      </w:pPr>
    </w:p>
    <w:p>
      <w:pPr>
        <w:ind w:left="120" w:right="420"/>
        <w:spacing w:after="0" w:line="309" w:lineRule="auto"/>
        <w:rPr>
          <w:sz w:val="20"/>
          <w:szCs w:val="20"/>
          <w:color w:val="auto"/>
        </w:rPr>
      </w:pPr>
      <w:r>
        <w:rPr>
          <w:rFonts w:ascii="Arial" w:cs="Arial" w:eastAsia="Arial" w:hAnsi="Arial"/>
          <w:sz w:val="16"/>
          <w:szCs w:val="16"/>
          <w:color w:val="auto"/>
        </w:rPr>
        <w:t>This proxy statement contains forward-looking statements, which involve risks and uncertainties. These forward-looking statements are generally identified by the use of forward-looking terminology, including the terms “anticipate,” “believe,” “could,” “estimate,” “expect,” “intend,” “may,” “plan,” “potential,” “predict,” “project,” “should,” “target,” “will,” “would” and, in each case, their negative or other various or comparable terminology. All statements other than statements of historical facts contained in this proxy statement, including statements regarding our strategy, prospects, plans, metrics for 2021 and objectives of management are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7029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80" w:hanging="741"/>
        <w:spacing w:after="0"/>
        <w:tabs>
          <w:tab w:leader="none" w:pos="108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PROXY STATEMENT 2022</w:t>
      </w:r>
    </w:p>
    <w:p>
      <w:pPr>
        <w:sectPr>
          <w:pgSz w:w="11900" w:h="16838" w:orient="portrait"/>
          <w:cols w:equalWidth="0" w:num="1">
            <w:col w:w="11100"/>
          </w:cols>
          <w:pgMar w:left="320" w:top="455" w:right="4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666666"/>
        </w:rPr>
        <w:t>OTHER MATTERS</w:t>
      </w:r>
    </w:p>
    <w:p>
      <w:pPr>
        <w:spacing w:after="0" w:line="167" w:lineRule="exact"/>
        <w:rPr>
          <w:sz w:val="20"/>
          <w:szCs w:val="20"/>
          <w:color w:val="auto"/>
        </w:rPr>
      </w:pPr>
    </w:p>
    <w:p>
      <w:pPr>
        <w:jc w:val="both"/>
        <w:ind w:left="120" w:right="220"/>
        <w:spacing w:after="0" w:line="309" w:lineRule="auto"/>
        <w:rPr>
          <w:sz w:val="20"/>
          <w:szCs w:val="20"/>
          <w:color w:val="auto"/>
        </w:rPr>
      </w:pPr>
      <w:r>
        <w:rPr>
          <w:rFonts w:ascii="Arial" w:cs="Arial" w:eastAsia="Arial" w:hAnsi="Arial"/>
          <w:sz w:val="16"/>
          <w:szCs w:val="16"/>
          <w:color w:val="auto"/>
        </w:rPr>
        <w:t>As you read this proxy statement, you should understand that these statements are not guarantees of performance or results. They involve known and unknown risks, uncertainties and assumptions, including those described under the heading “Item 1A. Risk Factors” in our annual report on Form 10-K and subsequent reports that we file with the SEC. Although we believe that these forward-looking statements are based upon reasonable assumptions, you should be aware that many factors could affect our actual financial results or results of operations and could cause actual results to differ materially from those in the forward-looking statements.</w:t>
      </w:r>
    </w:p>
    <w:p>
      <w:pPr>
        <w:spacing w:after="0" w:line="179" w:lineRule="exact"/>
        <w:rPr>
          <w:sz w:val="20"/>
          <w:szCs w:val="20"/>
          <w:color w:val="auto"/>
        </w:rPr>
      </w:pPr>
    </w:p>
    <w:p>
      <w:pPr>
        <w:ind w:left="120" w:right="120"/>
        <w:spacing w:after="0" w:line="312" w:lineRule="auto"/>
        <w:rPr>
          <w:sz w:val="20"/>
          <w:szCs w:val="20"/>
          <w:color w:val="auto"/>
        </w:rPr>
      </w:pPr>
      <w:r>
        <w:rPr>
          <w:rFonts w:ascii="Arial" w:cs="Arial" w:eastAsia="Arial" w:hAnsi="Arial"/>
          <w:sz w:val="16"/>
          <w:szCs w:val="16"/>
          <w:color w:val="auto"/>
        </w:rPr>
        <w:t>Our forward-looking statements made herein are made only as of the date of this proxy statement.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proxy statement.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Your cooperation in giving this matter your immediate attention and in voting your proxies promptly is appreciated.</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1654175" cy="265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54175" cy="26543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EKUMENE M. LYSONGE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Counsel and Corporate Secretary</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7029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61</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66666"/>
        </w:rPr>
        <w:t>ANNEX A</w:t>
      </w:r>
    </w:p>
    <w:p>
      <w:pPr>
        <w:spacing w:after="0" w:line="143"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N</w:t>
      </w:r>
      <w:r>
        <w:rPr>
          <w:rFonts w:ascii="Arial" w:cs="Arial" w:eastAsia="Arial" w:hAnsi="Arial"/>
          <w:sz w:val="20"/>
          <w:szCs w:val="20"/>
          <w:b w:val="1"/>
          <w:bCs w:val="1"/>
          <w:color w:val="auto"/>
        </w:rPr>
        <w:t>ERD</w:t>
      </w:r>
      <w:r>
        <w:rPr>
          <w:rFonts w:ascii="Arial" w:cs="Arial" w:eastAsia="Arial" w:hAnsi="Arial"/>
          <w:sz w:val="25"/>
          <w:szCs w:val="25"/>
          <w:b w:val="1"/>
          <w:bCs w:val="1"/>
          <w:color w:val="auto"/>
        </w:rPr>
        <w:t>W</w:t>
      </w:r>
      <w:r>
        <w:rPr>
          <w:rFonts w:ascii="Arial" w:cs="Arial" w:eastAsia="Arial" w:hAnsi="Arial"/>
          <w:sz w:val="20"/>
          <w:szCs w:val="20"/>
          <w:b w:val="1"/>
          <w:bCs w:val="1"/>
          <w:color w:val="auto"/>
        </w:rPr>
        <w:t>ALLET</w:t>
      </w:r>
      <w:r>
        <w:rPr>
          <w:rFonts w:ascii="Arial" w:cs="Arial" w:eastAsia="Arial" w:hAnsi="Arial"/>
          <w:sz w:val="25"/>
          <w:szCs w:val="25"/>
          <w:b w:val="1"/>
          <w:bCs w:val="1"/>
          <w:color w:val="auto"/>
        </w:rPr>
        <w:t>, I</w:t>
      </w:r>
      <w:r>
        <w:rPr>
          <w:rFonts w:ascii="Arial" w:cs="Arial" w:eastAsia="Arial" w:hAnsi="Arial"/>
          <w:sz w:val="20"/>
          <w:szCs w:val="20"/>
          <w:b w:val="1"/>
          <w:bCs w:val="1"/>
          <w:color w:val="auto"/>
        </w:rPr>
        <w:t>NC</w:t>
      </w:r>
      <w:r>
        <w:rPr>
          <w:rFonts w:ascii="Arial" w:cs="Arial" w:eastAsia="Arial" w:hAnsi="Arial"/>
          <w:sz w:val="25"/>
          <w:szCs w:val="25"/>
          <w:b w:val="1"/>
          <w:bCs w:val="1"/>
          <w:color w:val="auto"/>
        </w:rPr>
        <w:t>.</w:t>
      </w:r>
    </w:p>
    <w:p>
      <w:pPr>
        <w:spacing w:after="0" w:line="36" w:lineRule="exact"/>
        <w:rPr>
          <w:sz w:val="20"/>
          <w:szCs w:val="20"/>
          <w:color w:val="auto"/>
        </w:rPr>
      </w:pPr>
    </w:p>
    <w:p>
      <w:pPr>
        <w:ind w:left="3960"/>
        <w:spacing w:after="0"/>
        <w:rPr>
          <w:sz w:val="20"/>
          <w:szCs w:val="20"/>
          <w:color w:val="auto"/>
        </w:rPr>
      </w:pPr>
      <w:r>
        <w:rPr>
          <w:rFonts w:ascii="Arial" w:cs="Arial" w:eastAsia="Arial" w:hAnsi="Arial"/>
          <w:sz w:val="25"/>
          <w:szCs w:val="25"/>
          <w:b w:val="1"/>
          <w:bCs w:val="1"/>
          <w:color w:val="auto"/>
        </w:rPr>
        <w:t>2021 E</w:t>
      </w:r>
      <w:r>
        <w:rPr>
          <w:rFonts w:ascii="Arial" w:cs="Arial" w:eastAsia="Arial" w:hAnsi="Arial"/>
          <w:sz w:val="20"/>
          <w:szCs w:val="20"/>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20"/>
          <w:szCs w:val="20"/>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20"/>
          <w:szCs w:val="20"/>
          <w:b w:val="1"/>
          <w:bCs w:val="1"/>
          <w:color w:val="auto"/>
        </w:rPr>
        <w:t>LAN</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RIGINALLY</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DOPTED BY THE</w:t>
      </w:r>
      <w:r>
        <w:rPr>
          <w:rFonts w:ascii="Arial" w:cs="Arial" w:eastAsia="Arial" w:hAnsi="Arial"/>
          <w:sz w:val="20"/>
          <w:szCs w:val="20"/>
          <w:b w:val="1"/>
          <w:bCs w:val="1"/>
          <w:color w:val="auto"/>
        </w:rPr>
        <w:t xml:space="preserve"> B</w:t>
      </w:r>
      <w:r>
        <w:rPr>
          <w:rFonts w:ascii="Arial" w:cs="Arial" w:eastAsia="Arial" w:hAnsi="Arial"/>
          <w:sz w:val="16"/>
          <w:szCs w:val="16"/>
          <w:b w:val="1"/>
          <w:bCs w:val="1"/>
          <w:color w:val="auto"/>
        </w:rPr>
        <w:t>OARD OF</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IRECTORS</w:t>
      </w:r>
      <w:r>
        <w:rPr>
          <w:rFonts w:ascii="Arial" w:cs="Arial" w:eastAsia="Arial" w:hAnsi="Arial"/>
          <w:sz w:val="20"/>
          <w:szCs w:val="20"/>
          <w:b w:val="1"/>
          <w:bCs w:val="1"/>
          <w:color w:val="auto"/>
        </w:rPr>
        <w:t>: S</w:t>
      </w:r>
      <w:r>
        <w:rPr>
          <w:rFonts w:ascii="Arial" w:cs="Arial" w:eastAsia="Arial" w:hAnsi="Arial"/>
          <w:sz w:val="16"/>
          <w:szCs w:val="16"/>
          <w:b w:val="1"/>
          <w:bCs w:val="1"/>
          <w:color w:val="auto"/>
        </w:rPr>
        <w:t>EPTEMBER</w:t>
      </w:r>
      <w:r>
        <w:rPr>
          <w:rFonts w:ascii="Arial" w:cs="Arial" w:eastAsia="Arial" w:hAnsi="Arial"/>
          <w:sz w:val="20"/>
          <w:szCs w:val="20"/>
          <w:b w:val="1"/>
          <w:bCs w:val="1"/>
          <w:color w:val="auto"/>
        </w:rPr>
        <w:t xml:space="preserve"> 29, 2021</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RIGINALLY</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PPROVED BY THE</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TOCKHOLDERS</w:t>
      </w:r>
      <w:r>
        <w:rPr>
          <w:rFonts w:ascii="Arial" w:cs="Arial" w:eastAsia="Arial" w:hAnsi="Arial"/>
          <w:sz w:val="20"/>
          <w:szCs w:val="20"/>
          <w:b w:val="1"/>
          <w:bCs w:val="1"/>
          <w:color w:val="auto"/>
        </w:rPr>
        <w:t>: O</w:t>
      </w:r>
      <w:r>
        <w:rPr>
          <w:rFonts w:ascii="Arial" w:cs="Arial" w:eastAsia="Arial" w:hAnsi="Arial"/>
          <w:sz w:val="16"/>
          <w:szCs w:val="16"/>
          <w:b w:val="1"/>
          <w:bCs w:val="1"/>
          <w:color w:val="auto"/>
        </w:rPr>
        <w:t>CTOBER</w:t>
      </w:r>
      <w:r>
        <w:rPr>
          <w:rFonts w:ascii="Arial" w:cs="Arial" w:eastAsia="Arial" w:hAnsi="Arial"/>
          <w:sz w:val="20"/>
          <w:szCs w:val="20"/>
          <w:b w:val="1"/>
          <w:bCs w:val="1"/>
          <w:color w:val="auto"/>
        </w:rPr>
        <w:t xml:space="preserve"> 26, 2021</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S AMENDED ON</w:t>
      </w:r>
      <w:r>
        <w:rPr>
          <w:rFonts w:ascii="Arial" w:cs="Arial" w:eastAsia="Arial" w:hAnsi="Arial"/>
          <w:sz w:val="20"/>
          <w:szCs w:val="20"/>
          <w:b w:val="1"/>
          <w:bCs w:val="1"/>
          <w:color w:val="auto"/>
        </w:rPr>
        <w:t xml:space="preserve"> M</w:t>
      </w:r>
      <w:r>
        <w:rPr>
          <w:rFonts w:ascii="Arial" w:cs="Arial" w:eastAsia="Arial" w:hAnsi="Arial"/>
          <w:sz w:val="16"/>
          <w:szCs w:val="16"/>
          <w:b w:val="1"/>
          <w:bCs w:val="1"/>
          <w:color w:val="auto"/>
        </w:rPr>
        <w:t>AY</w:t>
      </w:r>
      <w:r>
        <w:rPr>
          <w:rFonts w:ascii="Arial" w:cs="Arial" w:eastAsia="Arial" w:hAnsi="Arial"/>
          <w:sz w:val="20"/>
          <w:szCs w:val="20"/>
          <w:b w:val="1"/>
          <w:bCs w:val="1"/>
          <w:color w:val="auto"/>
        </w:rPr>
        <w:t xml:space="preserve">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6995160" cy="7029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80" w:type="dxa"/>
            <w:vAlign w:val="bottom"/>
            <w:gridSpan w:val="3"/>
          </w:tcPr>
          <w:p>
            <w:pPr>
              <w:ind w:left="20"/>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ABLE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ONTENTS</w:t>
            </w:r>
          </w:p>
        </w:tc>
        <w:tc>
          <w:tcPr>
            <w:tcW w:w="2600" w:type="dxa"/>
            <w:vAlign w:val="bottom"/>
          </w:tcPr>
          <w:p>
            <w:pPr>
              <w:spacing w:after="0"/>
              <w:rPr>
                <w:sz w:val="19"/>
                <w:szCs w:val="19"/>
                <w:color w:val="auto"/>
              </w:rPr>
            </w:pPr>
          </w:p>
        </w:tc>
      </w:tr>
      <w:tr>
        <w:trPr>
          <w:trHeight w:val="129"/>
        </w:trPr>
        <w:tc>
          <w:tcPr>
            <w:tcW w:w="360" w:type="dxa"/>
            <w:vAlign w:val="bottom"/>
            <w:tcBorders>
              <w:bottom w:val="single" w:sz="8" w:color="60BAFF"/>
            </w:tcBorders>
          </w:tcPr>
          <w:p>
            <w:pPr>
              <w:spacing w:after="0"/>
              <w:rPr>
                <w:sz w:val="11"/>
                <w:szCs w:val="11"/>
                <w:color w:val="auto"/>
              </w:rPr>
            </w:pPr>
          </w:p>
        </w:tc>
        <w:tc>
          <w:tcPr>
            <w:tcW w:w="680" w:type="dxa"/>
            <w:vAlign w:val="bottom"/>
            <w:tcBorders>
              <w:bottom w:val="single" w:sz="8" w:color="60BAFF"/>
            </w:tcBorders>
          </w:tcPr>
          <w:p>
            <w:pPr>
              <w:spacing w:after="0"/>
              <w:rPr>
                <w:sz w:val="11"/>
                <w:szCs w:val="11"/>
                <w:color w:val="auto"/>
              </w:rPr>
            </w:pPr>
          </w:p>
        </w:tc>
        <w:tc>
          <w:tcPr>
            <w:tcW w:w="200" w:type="dxa"/>
            <w:vAlign w:val="bottom"/>
            <w:tcBorders>
              <w:bottom w:val="single" w:sz="8" w:color="60BAFF"/>
            </w:tcBorders>
          </w:tcPr>
          <w:p>
            <w:pPr>
              <w:spacing w:after="0"/>
              <w:rPr>
                <w:sz w:val="11"/>
                <w:szCs w:val="11"/>
                <w:color w:val="auto"/>
              </w:rPr>
            </w:pPr>
          </w:p>
        </w:tc>
        <w:tc>
          <w:tcPr>
            <w:tcW w:w="120" w:type="dxa"/>
            <w:vAlign w:val="bottom"/>
            <w:tcBorders>
              <w:bottom w:val="single" w:sz="8" w:color="60BAFF"/>
            </w:tcBorders>
          </w:tcPr>
          <w:p>
            <w:pPr>
              <w:spacing w:after="0"/>
              <w:rPr>
                <w:sz w:val="11"/>
                <w:szCs w:val="11"/>
                <w:color w:val="auto"/>
              </w:rPr>
            </w:pPr>
          </w:p>
        </w:tc>
        <w:tc>
          <w:tcPr>
            <w:tcW w:w="180" w:type="dxa"/>
            <w:vAlign w:val="bottom"/>
            <w:tcBorders>
              <w:bottom w:val="single" w:sz="8" w:color="60BAFF"/>
            </w:tcBorders>
          </w:tcPr>
          <w:p>
            <w:pPr>
              <w:spacing w:after="0"/>
              <w:rPr>
                <w:sz w:val="11"/>
                <w:szCs w:val="11"/>
                <w:color w:val="auto"/>
              </w:rPr>
            </w:pPr>
          </w:p>
        </w:tc>
        <w:tc>
          <w:tcPr>
            <w:tcW w:w="20" w:type="dxa"/>
            <w:vAlign w:val="bottom"/>
            <w:tcBorders>
              <w:bottom w:val="single" w:sz="8" w:color="60BAFF"/>
            </w:tcBorders>
          </w:tcPr>
          <w:p>
            <w:pPr>
              <w:spacing w:after="0"/>
              <w:rPr>
                <w:sz w:val="11"/>
                <w:szCs w:val="11"/>
                <w:color w:val="auto"/>
              </w:rPr>
            </w:pPr>
          </w:p>
        </w:tc>
        <w:tc>
          <w:tcPr>
            <w:tcW w:w="120" w:type="dxa"/>
            <w:vAlign w:val="bottom"/>
            <w:tcBorders>
              <w:bottom w:val="single" w:sz="8" w:color="60BAFF"/>
            </w:tcBorders>
          </w:tcPr>
          <w:p>
            <w:pPr>
              <w:spacing w:after="0"/>
              <w:rPr>
                <w:sz w:val="11"/>
                <w:szCs w:val="11"/>
                <w:color w:val="auto"/>
              </w:rPr>
            </w:pPr>
          </w:p>
        </w:tc>
        <w:tc>
          <w:tcPr>
            <w:tcW w:w="600" w:type="dxa"/>
            <w:vAlign w:val="bottom"/>
            <w:tcBorders>
              <w:bottom w:val="single" w:sz="8" w:color="60BAFF"/>
            </w:tcBorders>
          </w:tcPr>
          <w:p>
            <w:pPr>
              <w:spacing w:after="0"/>
              <w:rPr>
                <w:sz w:val="11"/>
                <w:szCs w:val="11"/>
                <w:color w:val="auto"/>
              </w:rPr>
            </w:pPr>
          </w:p>
        </w:tc>
        <w:tc>
          <w:tcPr>
            <w:tcW w:w="120" w:type="dxa"/>
            <w:vAlign w:val="bottom"/>
            <w:tcBorders>
              <w:bottom w:val="single" w:sz="8" w:color="60BAFF"/>
            </w:tcBorders>
          </w:tcPr>
          <w:p>
            <w:pPr>
              <w:spacing w:after="0"/>
              <w:rPr>
                <w:sz w:val="11"/>
                <w:szCs w:val="11"/>
                <w:color w:val="auto"/>
              </w:rPr>
            </w:pPr>
          </w:p>
        </w:tc>
        <w:tc>
          <w:tcPr>
            <w:tcW w:w="120" w:type="dxa"/>
            <w:vAlign w:val="bottom"/>
            <w:tcBorders>
              <w:bottom w:val="single" w:sz="8" w:color="60BAFF"/>
            </w:tcBorders>
          </w:tcPr>
          <w:p>
            <w:pPr>
              <w:spacing w:after="0"/>
              <w:rPr>
                <w:sz w:val="11"/>
                <w:szCs w:val="11"/>
                <w:color w:val="auto"/>
              </w:rPr>
            </w:pPr>
          </w:p>
        </w:tc>
        <w:tc>
          <w:tcPr>
            <w:tcW w:w="80" w:type="dxa"/>
            <w:vAlign w:val="bottom"/>
            <w:tcBorders>
              <w:bottom w:val="single" w:sz="8" w:color="60BAFF"/>
            </w:tcBorders>
          </w:tcPr>
          <w:p>
            <w:pPr>
              <w:spacing w:after="0"/>
              <w:rPr>
                <w:sz w:val="11"/>
                <w:szCs w:val="11"/>
                <w:color w:val="auto"/>
              </w:rPr>
            </w:pPr>
          </w:p>
        </w:tc>
        <w:tc>
          <w:tcPr>
            <w:tcW w:w="900" w:type="dxa"/>
            <w:vAlign w:val="bottom"/>
            <w:tcBorders>
              <w:bottom w:val="single" w:sz="8" w:color="60BAFF"/>
            </w:tcBorders>
          </w:tcPr>
          <w:p>
            <w:pPr>
              <w:spacing w:after="0"/>
              <w:rPr>
                <w:sz w:val="11"/>
                <w:szCs w:val="11"/>
                <w:color w:val="auto"/>
              </w:rPr>
            </w:pPr>
          </w:p>
        </w:tc>
        <w:tc>
          <w:tcPr>
            <w:tcW w:w="1240" w:type="dxa"/>
            <w:vAlign w:val="bottom"/>
            <w:tcBorders>
              <w:bottom w:val="single" w:sz="8" w:color="60BAFF"/>
            </w:tcBorders>
          </w:tcPr>
          <w:p>
            <w:pPr>
              <w:spacing w:after="0"/>
              <w:rPr>
                <w:sz w:val="11"/>
                <w:szCs w:val="11"/>
                <w:color w:val="auto"/>
              </w:rPr>
            </w:pPr>
          </w:p>
        </w:tc>
        <w:tc>
          <w:tcPr>
            <w:tcW w:w="400" w:type="dxa"/>
            <w:vAlign w:val="bottom"/>
            <w:tcBorders>
              <w:bottom w:val="single" w:sz="8" w:color="60BAFF"/>
            </w:tcBorders>
          </w:tcPr>
          <w:p>
            <w:pPr>
              <w:spacing w:after="0"/>
              <w:rPr>
                <w:sz w:val="11"/>
                <w:szCs w:val="11"/>
                <w:color w:val="auto"/>
              </w:rPr>
            </w:pPr>
          </w:p>
        </w:tc>
        <w:tc>
          <w:tcPr>
            <w:tcW w:w="980" w:type="dxa"/>
            <w:vAlign w:val="bottom"/>
            <w:tcBorders>
              <w:bottom w:val="single" w:sz="8" w:color="60BAFF"/>
            </w:tcBorders>
          </w:tcPr>
          <w:p>
            <w:pPr>
              <w:spacing w:after="0"/>
              <w:rPr>
                <w:sz w:val="11"/>
                <w:szCs w:val="11"/>
                <w:color w:val="auto"/>
              </w:rPr>
            </w:pPr>
          </w:p>
        </w:tc>
        <w:tc>
          <w:tcPr>
            <w:tcW w:w="2300" w:type="dxa"/>
            <w:vAlign w:val="bottom"/>
            <w:tcBorders>
              <w:bottom w:val="single" w:sz="8" w:color="60BAFF"/>
            </w:tcBorders>
          </w:tcPr>
          <w:p>
            <w:pPr>
              <w:spacing w:after="0"/>
              <w:rPr>
                <w:sz w:val="11"/>
                <w:szCs w:val="11"/>
                <w:color w:val="auto"/>
              </w:rPr>
            </w:pPr>
          </w:p>
        </w:tc>
        <w:tc>
          <w:tcPr>
            <w:tcW w:w="2600" w:type="dxa"/>
            <w:vAlign w:val="bottom"/>
            <w:tcBorders>
              <w:bottom w:val="single" w:sz="8" w:color="60BAFF"/>
            </w:tcBorders>
          </w:tcPr>
          <w:p>
            <w:pPr>
              <w:spacing w:after="0"/>
              <w:rPr>
                <w:sz w:val="11"/>
                <w:szCs w:val="11"/>
                <w:color w:val="auto"/>
              </w:rPr>
            </w:pPr>
          </w:p>
        </w:tc>
      </w:tr>
      <w:tr>
        <w:trPr>
          <w:trHeight w:val="234"/>
        </w:trPr>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0" w:type="dxa"/>
            <w:vAlign w:val="bottom"/>
          </w:tcPr>
          <w:p>
            <w:pPr>
              <w:ind w:left="2220"/>
              <w:spacing w:after="0"/>
              <w:rPr>
                <w:sz w:val="20"/>
                <w:szCs w:val="20"/>
                <w:color w:val="auto"/>
              </w:rPr>
            </w:pPr>
            <w:r>
              <w:rPr>
                <w:rFonts w:ascii="Arial" w:cs="Arial" w:eastAsia="Arial" w:hAnsi="Arial"/>
                <w:sz w:val="14"/>
                <w:szCs w:val="14"/>
                <w:b w:val="1"/>
                <w:bCs w:val="1"/>
                <w:color w:val="60BAFF"/>
              </w:rPr>
              <w:t>Page</w:t>
            </w:r>
          </w:p>
        </w:tc>
      </w:tr>
      <w:tr>
        <w:trPr>
          <w:trHeight w:val="43"/>
        </w:trPr>
        <w:tc>
          <w:tcPr>
            <w:tcW w:w="360" w:type="dxa"/>
            <w:vAlign w:val="bottom"/>
            <w:tcBorders>
              <w:bottom w:val="single" w:sz="8" w:color="60BAFF"/>
            </w:tcBorders>
          </w:tcPr>
          <w:p>
            <w:pPr>
              <w:spacing w:after="0"/>
              <w:rPr>
                <w:sz w:val="3"/>
                <w:szCs w:val="3"/>
                <w:color w:val="auto"/>
              </w:rPr>
            </w:pPr>
          </w:p>
        </w:tc>
        <w:tc>
          <w:tcPr>
            <w:tcW w:w="680" w:type="dxa"/>
            <w:vAlign w:val="bottom"/>
            <w:tcBorders>
              <w:bottom w:val="single" w:sz="8" w:color="60BAFF"/>
            </w:tcBorders>
          </w:tcPr>
          <w:p>
            <w:pPr>
              <w:spacing w:after="0"/>
              <w:rPr>
                <w:sz w:val="3"/>
                <w:szCs w:val="3"/>
                <w:color w:val="auto"/>
              </w:rPr>
            </w:pPr>
          </w:p>
        </w:tc>
        <w:tc>
          <w:tcPr>
            <w:tcW w:w="200" w:type="dxa"/>
            <w:vAlign w:val="bottom"/>
            <w:tcBorders>
              <w:bottom w:val="single" w:sz="8" w:color="60BAFF"/>
            </w:tcBorders>
          </w:tcPr>
          <w:p>
            <w:pPr>
              <w:spacing w:after="0"/>
              <w:rPr>
                <w:sz w:val="3"/>
                <w:szCs w:val="3"/>
                <w:color w:val="auto"/>
              </w:rPr>
            </w:pPr>
          </w:p>
        </w:tc>
        <w:tc>
          <w:tcPr>
            <w:tcW w:w="120" w:type="dxa"/>
            <w:vAlign w:val="bottom"/>
            <w:tcBorders>
              <w:bottom w:val="single" w:sz="8" w:color="60BAFF"/>
            </w:tcBorders>
          </w:tcPr>
          <w:p>
            <w:pPr>
              <w:spacing w:after="0"/>
              <w:rPr>
                <w:sz w:val="3"/>
                <w:szCs w:val="3"/>
                <w:color w:val="auto"/>
              </w:rPr>
            </w:pPr>
          </w:p>
        </w:tc>
        <w:tc>
          <w:tcPr>
            <w:tcW w:w="180" w:type="dxa"/>
            <w:vAlign w:val="bottom"/>
            <w:tcBorders>
              <w:bottom w:val="single" w:sz="8" w:color="60BAFF"/>
            </w:tcBorders>
          </w:tcPr>
          <w:p>
            <w:pPr>
              <w:spacing w:after="0"/>
              <w:rPr>
                <w:sz w:val="3"/>
                <w:szCs w:val="3"/>
                <w:color w:val="auto"/>
              </w:rPr>
            </w:pPr>
          </w:p>
        </w:tc>
        <w:tc>
          <w:tcPr>
            <w:tcW w:w="20" w:type="dxa"/>
            <w:vAlign w:val="bottom"/>
            <w:tcBorders>
              <w:bottom w:val="single" w:sz="8" w:color="60BAFF"/>
            </w:tcBorders>
          </w:tcPr>
          <w:p>
            <w:pPr>
              <w:spacing w:after="0"/>
              <w:rPr>
                <w:sz w:val="3"/>
                <w:szCs w:val="3"/>
                <w:color w:val="auto"/>
              </w:rPr>
            </w:pPr>
          </w:p>
        </w:tc>
        <w:tc>
          <w:tcPr>
            <w:tcW w:w="120" w:type="dxa"/>
            <w:vAlign w:val="bottom"/>
            <w:tcBorders>
              <w:bottom w:val="single" w:sz="8" w:color="60BAFF"/>
            </w:tcBorders>
          </w:tcPr>
          <w:p>
            <w:pPr>
              <w:spacing w:after="0"/>
              <w:rPr>
                <w:sz w:val="3"/>
                <w:szCs w:val="3"/>
                <w:color w:val="auto"/>
              </w:rPr>
            </w:pPr>
          </w:p>
        </w:tc>
        <w:tc>
          <w:tcPr>
            <w:tcW w:w="600" w:type="dxa"/>
            <w:vAlign w:val="bottom"/>
            <w:tcBorders>
              <w:bottom w:val="single" w:sz="8" w:color="60BAFF"/>
            </w:tcBorders>
          </w:tcPr>
          <w:p>
            <w:pPr>
              <w:spacing w:after="0"/>
              <w:rPr>
                <w:sz w:val="3"/>
                <w:szCs w:val="3"/>
                <w:color w:val="auto"/>
              </w:rPr>
            </w:pPr>
          </w:p>
        </w:tc>
        <w:tc>
          <w:tcPr>
            <w:tcW w:w="120" w:type="dxa"/>
            <w:vAlign w:val="bottom"/>
            <w:tcBorders>
              <w:bottom w:val="single" w:sz="8" w:color="60BAFF"/>
            </w:tcBorders>
          </w:tcPr>
          <w:p>
            <w:pPr>
              <w:spacing w:after="0"/>
              <w:rPr>
                <w:sz w:val="3"/>
                <w:szCs w:val="3"/>
                <w:color w:val="auto"/>
              </w:rPr>
            </w:pPr>
          </w:p>
        </w:tc>
        <w:tc>
          <w:tcPr>
            <w:tcW w:w="120" w:type="dxa"/>
            <w:vAlign w:val="bottom"/>
            <w:tcBorders>
              <w:bottom w:val="single" w:sz="8" w:color="60BAFF"/>
            </w:tcBorders>
          </w:tcPr>
          <w:p>
            <w:pPr>
              <w:spacing w:after="0"/>
              <w:rPr>
                <w:sz w:val="3"/>
                <w:szCs w:val="3"/>
                <w:color w:val="auto"/>
              </w:rPr>
            </w:pPr>
          </w:p>
        </w:tc>
        <w:tc>
          <w:tcPr>
            <w:tcW w:w="80" w:type="dxa"/>
            <w:vAlign w:val="bottom"/>
            <w:tcBorders>
              <w:bottom w:val="single" w:sz="8" w:color="60BAFF"/>
            </w:tcBorders>
          </w:tcPr>
          <w:p>
            <w:pPr>
              <w:spacing w:after="0"/>
              <w:rPr>
                <w:sz w:val="3"/>
                <w:szCs w:val="3"/>
                <w:color w:val="auto"/>
              </w:rPr>
            </w:pPr>
          </w:p>
        </w:tc>
        <w:tc>
          <w:tcPr>
            <w:tcW w:w="900" w:type="dxa"/>
            <w:vAlign w:val="bottom"/>
            <w:tcBorders>
              <w:bottom w:val="single" w:sz="8" w:color="60BAFF"/>
            </w:tcBorders>
          </w:tcPr>
          <w:p>
            <w:pPr>
              <w:spacing w:after="0"/>
              <w:rPr>
                <w:sz w:val="3"/>
                <w:szCs w:val="3"/>
                <w:color w:val="auto"/>
              </w:rPr>
            </w:pPr>
          </w:p>
        </w:tc>
        <w:tc>
          <w:tcPr>
            <w:tcW w:w="1240" w:type="dxa"/>
            <w:vAlign w:val="bottom"/>
            <w:tcBorders>
              <w:bottom w:val="single" w:sz="8" w:color="60BAFF"/>
            </w:tcBorders>
          </w:tcPr>
          <w:p>
            <w:pPr>
              <w:spacing w:after="0"/>
              <w:rPr>
                <w:sz w:val="3"/>
                <w:szCs w:val="3"/>
                <w:color w:val="auto"/>
              </w:rPr>
            </w:pPr>
          </w:p>
        </w:tc>
        <w:tc>
          <w:tcPr>
            <w:tcW w:w="400" w:type="dxa"/>
            <w:vAlign w:val="bottom"/>
            <w:tcBorders>
              <w:bottom w:val="single" w:sz="8" w:color="60BAFF"/>
            </w:tcBorders>
          </w:tcPr>
          <w:p>
            <w:pPr>
              <w:spacing w:after="0"/>
              <w:rPr>
                <w:sz w:val="3"/>
                <w:szCs w:val="3"/>
                <w:color w:val="auto"/>
              </w:rPr>
            </w:pPr>
          </w:p>
        </w:tc>
        <w:tc>
          <w:tcPr>
            <w:tcW w:w="980" w:type="dxa"/>
            <w:vAlign w:val="bottom"/>
            <w:tcBorders>
              <w:bottom w:val="single" w:sz="8" w:color="60BAFF"/>
            </w:tcBorders>
          </w:tcPr>
          <w:p>
            <w:pPr>
              <w:spacing w:after="0"/>
              <w:rPr>
                <w:sz w:val="3"/>
                <w:szCs w:val="3"/>
                <w:color w:val="auto"/>
              </w:rPr>
            </w:pPr>
          </w:p>
        </w:tc>
        <w:tc>
          <w:tcPr>
            <w:tcW w:w="2300" w:type="dxa"/>
            <w:vAlign w:val="bottom"/>
            <w:tcBorders>
              <w:bottom w:val="single" w:sz="8" w:color="60BAFF"/>
            </w:tcBorders>
          </w:tcPr>
          <w:p>
            <w:pPr>
              <w:spacing w:after="0"/>
              <w:rPr>
                <w:sz w:val="3"/>
                <w:szCs w:val="3"/>
                <w:color w:val="auto"/>
              </w:rPr>
            </w:pPr>
          </w:p>
        </w:tc>
        <w:tc>
          <w:tcPr>
            <w:tcW w:w="2600" w:type="dxa"/>
            <w:vAlign w:val="bottom"/>
            <w:tcBorders>
              <w:bottom w:val="single" w:sz="8" w:color="60BAFF"/>
            </w:tcBorders>
          </w:tcPr>
          <w:p>
            <w:pPr>
              <w:spacing w:after="0"/>
              <w:rPr>
                <w:sz w:val="3"/>
                <w:szCs w:val="3"/>
                <w:color w:val="auto"/>
              </w:rPr>
            </w:pPr>
          </w:p>
        </w:tc>
      </w:t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1.</w:t>
            </w:r>
          </w:p>
        </w:tc>
        <w:tc>
          <w:tcPr>
            <w:tcW w:w="8060" w:type="dxa"/>
            <w:vAlign w:val="bottom"/>
            <w:gridSpan w:val="15"/>
          </w:tcPr>
          <w:p>
            <w:pPr>
              <w:spacing w:after="0"/>
              <w:rPr>
                <w:rFonts w:ascii="Arial" w:cs="Arial" w:eastAsia="Arial" w:hAnsi="Arial"/>
                <w:sz w:val="16"/>
                <w:szCs w:val="16"/>
                <w:b w:val="1"/>
                <w:bCs w:val="1"/>
                <w:color w:val="0000EE"/>
              </w:rPr>
            </w:pPr>
            <w:hyperlink w:anchor="page69">
              <w:r>
                <w:rPr>
                  <w:rFonts w:ascii="Arial" w:cs="Arial" w:eastAsia="Arial" w:hAnsi="Arial"/>
                  <w:sz w:val="16"/>
                  <w:szCs w:val="16"/>
                  <w:b w:val="1"/>
                  <w:bCs w:val="1"/>
                  <w:color w:val="0000EE"/>
                </w:rPr>
                <w:t>G</w:t>
              </w:r>
              <w:r>
                <w:rPr>
                  <w:rFonts w:ascii="Arial" w:cs="Arial" w:eastAsia="Arial" w:hAnsi="Arial"/>
                  <w:sz w:val="13"/>
                  <w:szCs w:val="13"/>
                  <w:b w:val="1"/>
                  <w:bCs w:val="1"/>
                  <w:color w:val="0000EE"/>
                </w:rPr>
                <w:t>ENERAL</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A-1</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8060" w:type="dxa"/>
            <w:vAlign w:val="bottom"/>
            <w:gridSpan w:val="15"/>
          </w:tcPr>
          <w:p>
            <w:pPr>
              <w:spacing w:after="0"/>
              <w:rPr>
                <w:rFonts w:ascii="Arial" w:cs="Arial" w:eastAsia="Arial" w:hAnsi="Arial"/>
                <w:sz w:val="16"/>
                <w:szCs w:val="16"/>
                <w:b w:val="1"/>
                <w:bCs w:val="1"/>
                <w:color w:val="0000EE"/>
              </w:rPr>
            </w:pPr>
            <w:hyperlink w:anchor="page69">
              <w:r>
                <w:rPr>
                  <w:rFonts w:ascii="Arial" w:cs="Arial" w:eastAsia="Arial" w:hAnsi="Arial"/>
                  <w:sz w:val="16"/>
                  <w:szCs w:val="16"/>
                  <w:b w:val="1"/>
                  <w:bCs w:val="1"/>
                  <w:color w:val="0000EE"/>
                </w:rPr>
                <w:t>S</w:t>
              </w:r>
              <w:r>
                <w:rPr>
                  <w:rFonts w:ascii="Arial" w:cs="Arial" w:eastAsia="Arial" w:hAnsi="Arial"/>
                  <w:sz w:val="13"/>
                  <w:szCs w:val="13"/>
                  <w:b w:val="1"/>
                  <w:bCs w:val="1"/>
                  <w:color w:val="0000EE"/>
                </w:rPr>
                <w:t>HARES</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UBJECT TO THE</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LAN</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A-1</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3.</w:t>
            </w:r>
          </w:p>
        </w:tc>
        <w:tc>
          <w:tcPr>
            <w:tcW w:w="2040" w:type="dxa"/>
            <w:vAlign w:val="bottom"/>
            <w:tcBorders>
              <w:top w:val="single" w:sz="8" w:color="0000EE"/>
              <w:bottom w:val="single" w:sz="8" w:color="0000EE"/>
            </w:tcBorders>
            <w:gridSpan w:val="8"/>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E</w:t>
              </w:r>
              <w:r>
                <w:rPr>
                  <w:rFonts w:ascii="Arial" w:cs="Arial" w:eastAsia="Arial" w:hAnsi="Arial"/>
                  <w:sz w:val="13"/>
                  <w:szCs w:val="13"/>
                  <w:b w:val="1"/>
                  <w:bCs w:val="1"/>
                  <w:color w:val="0000EE"/>
                </w:rPr>
                <w:t>LIGIBILITY AND</w:t>
              </w:r>
              <w:r>
                <w:rPr>
                  <w:rFonts w:ascii="Arial" w:cs="Arial" w:eastAsia="Arial" w:hAnsi="Arial"/>
                  <w:sz w:val="16"/>
                  <w:szCs w:val="16"/>
                  <w:b w:val="1"/>
                  <w:bCs w:val="1"/>
                  <w:color w:val="0000EE"/>
                </w:rPr>
                <w:t xml:space="preserve"> L</w:t>
              </w:r>
              <w:r>
                <w:rPr>
                  <w:rFonts w:ascii="Arial" w:cs="Arial" w:eastAsia="Arial" w:hAnsi="Arial"/>
                  <w:sz w:val="13"/>
                  <w:szCs w:val="13"/>
                  <w:b w:val="1"/>
                  <w:bCs w:val="1"/>
                  <w:color w:val="0000EE"/>
                </w:rPr>
                <w:t>IMITATIONS</w:t>
              </w:r>
            </w:hyperlink>
          </w:p>
        </w:tc>
        <w:tc>
          <w:tcPr>
            <w:tcW w:w="200" w:type="dxa"/>
            <w:vAlign w:val="bottom"/>
            <w:tcBorders>
              <w:top w:val="single" w:sz="8" w:color="0000EE"/>
            </w:tcBorders>
            <w:gridSpan w:val="2"/>
          </w:tcPr>
          <w:p>
            <w:pPr>
              <w:spacing w:after="0"/>
              <w:rPr>
                <w:sz w:val="24"/>
                <w:szCs w:val="24"/>
                <w:color w:val="auto"/>
              </w:rPr>
            </w:pPr>
          </w:p>
        </w:tc>
        <w:tc>
          <w:tcPr>
            <w:tcW w:w="5820" w:type="dxa"/>
            <w:vAlign w:val="bottom"/>
            <w:gridSpan w:val="5"/>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A-2</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4.</w:t>
            </w:r>
          </w:p>
        </w:tc>
        <w:tc>
          <w:tcPr>
            <w:tcW w:w="8060" w:type="dxa"/>
            <w:vAlign w:val="bottom"/>
            <w:gridSpan w:val="15"/>
          </w:tcPr>
          <w:p>
            <w:pPr>
              <w:spacing w:after="0"/>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O</w:t>
              </w:r>
              <w:r>
                <w:rPr>
                  <w:rFonts w:ascii="Arial" w:cs="Arial" w:eastAsia="Arial" w:hAnsi="Arial"/>
                  <w:sz w:val="13"/>
                  <w:szCs w:val="13"/>
                  <w:b w:val="1"/>
                  <w:bCs w:val="1"/>
                  <w:color w:val="0000EE"/>
                </w:rPr>
                <w:t>PTIONS AND</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TOCK</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PPRECIATION</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IGHTS</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A-3</w:t>
            </w: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5.</w:t>
            </w:r>
          </w:p>
        </w:tc>
        <w:tc>
          <w:tcPr>
            <w:tcW w:w="4780" w:type="dxa"/>
            <w:vAlign w:val="bottom"/>
            <w:tcBorders>
              <w:bottom w:val="single" w:sz="8" w:color="0000EE"/>
            </w:tcBorders>
            <w:gridSpan w:val="13"/>
          </w:tcPr>
          <w:p>
            <w:pPr>
              <w:spacing w:after="0"/>
              <w:rPr>
                <w:rFonts w:ascii="Arial" w:cs="Arial" w:eastAsia="Arial" w:hAnsi="Arial"/>
                <w:sz w:val="16"/>
                <w:szCs w:val="16"/>
                <w:b w:val="1"/>
                <w:bCs w:val="1"/>
                <w:color w:val="0000EE"/>
              </w:rPr>
            </w:pPr>
            <w:hyperlink w:anchor="page74">
              <w:r>
                <w:rPr>
                  <w:rFonts w:ascii="Arial" w:cs="Arial" w:eastAsia="Arial" w:hAnsi="Arial"/>
                  <w:sz w:val="16"/>
                  <w:szCs w:val="16"/>
                  <w:b w:val="1"/>
                  <w:bCs w:val="1"/>
                  <w:color w:val="0000EE"/>
                </w:rPr>
                <w:t>A</w:t>
              </w:r>
              <w:r>
                <w:rPr>
                  <w:rFonts w:ascii="Arial" w:cs="Arial" w:eastAsia="Arial" w:hAnsi="Arial"/>
                  <w:sz w:val="13"/>
                  <w:szCs w:val="13"/>
                  <w:b w:val="1"/>
                  <w:bCs w:val="1"/>
                  <w:color w:val="0000EE"/>
                </w:rPr>
                <w:t>WARDS</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THER</w:t>
              </w:r>
              <w:r>
                <w:rPr>
                  <w:rFonts w:ascii="Arial" w:cs="Arial" w:eastAsia="Arial" w:hAnsi="Arial"/>
                  <w:sz w:val="16"/>
                  <w:szCs w:val="16"/>
                  <w:b w:val="1"/>
                  <w:bCs w:val="1"/>
                  <w:color w:val="0000EE"/>
                </w:rPr>
                <w:t xml:space="preserve"> T</w:t>
              </w:r>
              <w:r>
                <w:rPr>
                  <w:rFonts w:ascii="Arial" w:cs="Arial" w:eastAsia="Arial" w:hAnsi="Arial"/>
                  <w:sz w:val="13"/>
                  <w:szCs w:val="13"/>
                  <w:b w:val="1"/>
                  <w:bCs w:val="1"/>
                  <w:color w:val="0000EE"/>
                </w:rPr>
                <w:t>HAN</w:t>
              </w:r>
              <w:r>
                <w:rPr>
                  <w:rFonts w:ascii="Arial" w:cs="Arial" w:eastAsia="Arial" w:hAnsi="Arial"/>
                  <w:sz w:val="16"/>
                  <w:szCs w:val="16"/>
                  <w:b w:val="1"/>
                  <w:bCs w:val="1"/>
                  <w:color w:val="0000EE"/>
                </w:rPr>
                <w:t xml:space="preserve"> O</w:t>
              </w:r>
              <w:r>
                <w:rPr>
                  <w:rFonts w:ascii="Arial" w:cs="Arial" w:eastAsia="Arial" w:hAnsi="Arial"/>
                  <w:sz w:val="13"/>
                  <w:szCs w:val="13"/>
                  <w:b w:val="1"/>
                  <w:bCs w:val="1"/>
                  <w:color w:val="0000EE"/>
                </w:rPr>
                <w:t>PTIONS AND</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TOCK</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PPRECIATION</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IGHTS</w:t>
              </w:r>
            </w:hyperlink>
          </w:p>
        </w:tc>
        <w:tc>
          <w:tcPr>
            <w:tcW w:w="3280" w:type="dxa"/>
            <w:vAlign w:val="bottom"/>
            <w:gridSpan w:val="2"/>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A-6</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6.</w:t>
            </w:r>
          </w:p>
        </w:tc>
        <w:tc>
          <w:tcPr>
            <w:tcW w:w="8060" w:type="dxa"/>
            <w:vAlign w:val="bottom"/>
            <w:gridSpan w:val="15"/>
          </w:tcPr>
          <w:p>
            <w:pPr>
              <w:spacing w:after="0"/>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A</w:t>
              </w:r>
              <w:r>
                <w:rPr>
                  <w:rFonts w:ascii="Arial" w:cs="Arial" w:eastAsia="Arial" w:hAnsi="Arial"/>
                  <w:sz w:val="13"/>
                  <w:szCs w:val="13"/>
                  <w:b w:val="1"/>
                  <w:bCs w:val="1"/>
                  <w:color w:val="0000EE"/>
                </w:rPr>
                <w:t>DJUSTMENTS UPON</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HANGES IN</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OMMON</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TOCK</w:t>
              </w:r>
              <w:r>
                <w:rPr>
                  <w:rFonts w:ascii="Arial" w:cs="Arial" w:eastAsia="Arial" w:hAnsi="Arial"/>
                  <w:sz w:val="16"/>
                  <w:szCs w:val="16"/>
                  <w:b w:val="1"/>
                  <w:bCs w:val="1"/>
                  <w:color w:val="0000EE"/>
                </w:rPr>
                <w:t xml:space="preserve"> ; O</w:t>
              </w:r>
              <w:r>
                <w:rPr>
                  <w:rFonts w:ascii="Arial" w:cs="Arial" w:eastAsia="Arial" w:hAnsi="Arial"/>
                  <w:sz w:val="13"/>
                  <w:szCs w:val="13"/>
                  <w:b w:val="1"/>
                  <w:bCs w:val="1"/>
                  <w:color w:val="0000EE"/>
                </w:rPr>
                <w:t>THER</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ORPORATE</w:t>
              </w:r>
              <w:r>
                <w:rPr>
                  <w:rFonts w:ascii="Arial" w:cs="Arial" w:eastAsia="Arial" w:hAnsi="Arial"/>
                  <w:sz w:val="16"/>
                  <w:szCs w:val="16"/>
                  <w:b w:val="1"/>
                  <w:bCs w:val="1"/>
                  <w:color w:val="0000EE"/>
                </w:rPr>
                <w:t xml:space="preserve"> E</w:t>
              </w:r>
              <w:r>
                <w:rPr>
                  <w:rFonts w:ascii="Arial" w:cs="Arial" w:eastAsia="Arial" w:hAnsi="Arial"/>
                  <w:sz w:val="13"/>
                  <w:szCs w:val="13"/>
                  <w:b w:val="1"/>
                  <w:bCs w:val="1"/>
                  <w:color w:val="0000EE"/>
                </w:rPr>
                <w:t>VENTS</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A-7</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7.</w:t>
            </w:r>
          </w:p>
        </w:tc>
        <w:tc>
          <w:tcPr>
            <w:tcW w:w="118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rPr>
            </w:pPr>
            <w:hyperlink w:anchor="page77">
              <w:r>
                <w:rPr>
                  <w:rFonts w:ascii="Arial" w:cs="Arial" w:eastAsia="Arial" w:hAnsi="Arial"/>
                  <w:sz w:val="16"/>
                  <w:szCs w:val="16"/>
                  <w:b w:val="1"/>
                  <w:bCs w:val="1"/>
                  <w:color w:val="0000EE"/>
                </w:rPr>
                <w:t>A</w:t>
              </w:r>
              <w:r>
                <w:rPr>
                  <w:rFonts w:ascii="Arial" w:cs="Arial" w:eastAsia="Arial" w:hAnsi="Arial"/>
                  <w:sz w:val="13"/>
                  <w:szCs w:val="13"/>
                  <w:b w:val="1"/>
                  <w:bCs w:val="1"/>
                  <w:color w:val="0000EE"/>
                </w:rPr>
                <w:t>DMINISTRATION</w:t>
              </w:r>
            </w:hyperlink>
          </w:p>
        </w:tc>
        <w:tc>
          <w:tcPr>
            <w:tcW w:w="4580" w:type="dxa"/>
            <w:vAlign w:val="bottom"/>
            <w:tcBorders>
              <w:top w:val="single" w:sz="8" w:color="0000EE"/>
            </w:tcBorders>
            <w:gridSpan w:val="10"/>
          </w:tcPr>
          <w:p>
            <w:pPr>
              <w:spacing w:after="0"/>
              <w:rPr>
                <w:sz w:val="24"/>
                <w:szCs w:val="24"/>
                <w:color w:val="auto"/>
              </w:rPr>
            </w:pPr>
          </w:p>
        </w:tc>
        <w:tc>
          <w:tcPr>
            <w:tcW w:w="230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A-9</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8.</w:t>
            </w:r>
          </w:p>
        </w:tc>
        <w:tc>
          <w:tcPr>
            <w:tcW w:w="8060" w:type="dxa"/>
            <w:vAlign w:val="bottom"/>
            <w:gridSpan w:val="15"/>
          </w:tcPr>
          <w:p>
            <w:pPr>
              <w:spacing w:after="0"/>
              <w:rPr>
                <w:rFonts w:ascii="Arial" w:cs="Arial" w:eastAsia="Arial" w:hAnsi="Arial"/>
                <w:sz w:val="16"/>
                <w:szCs w:val="16"/>
                <w:b w:val="1"/>
                <w:bCs w:val="1"/>
                <w:color w:val="0000EE"/>
              </w:rPr>
            </w:pPr>
            <w:hyperlink w:anchor="page79">
              <w:r>
                <w:rPr>
                  <w:rFonts w:ascii="Arial" w:cs="Arial" w:eastAsia="Arial" w:hAnsi="Arial"/>
                  <w:sz w:val="16"/>
                  <w:szCs w:val="16"/>
                  <w:b w:val="1"/>
                  <w:bCs w:val="1"/>
                  <w:color w:val="0000EE"/>
                </w:rPr>
                <w:t>T</w:t>
              </w:r>
              <w:r>
                <w:rPr>
                  <w:rFonts w:ascii="Arial" w:cs="Arial" w:eastAsia="Arial" w:hAnsi="Arial"/>
                  <w:sz w:val="13"/>
                  <w:szCs w:val="13"/>
                  <w:b w:val="1"/>
                  <w:bCs w:val="1"/>
                  <w:color w:val="0000EE"/>
                </w:rPr>
                <w:t>AX</w:t>
              </w:r>
              <w:r>
                <w:rPr>
                  <w:rFonts w:ascii="Arial" w:cs="Arial" w:eastAsia="Arial" w:hAnsi="Arial"/>
                  <w:sz w:val="16"/>
                  <w:szCs w:val="16"/>
                  <w:b w:val="1"/>
                  <w:bCs w:val="1"/>
                  <w:color w:val="0000EE"/>
                </w:rPr>
                <w:t xml:space="preserve"> W</w:t>
              </w:r>
              <w:r>
                <w:rPr>
                  <w:rFonts w:ascii="Arial" w:cs="Arial" w:eastAsia="Arial" w:hAnsi="Arial"/>
                  <w:sz w:val="13"/>
                  <w:szCs w:val="13"/>
                  <w:b w:val="1"/>
                  <w:bCs w:val="1"/>
                  <w:color w:val="0000EE"/>
                </w:rPr>
                <w:t>ITHHOLDING</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A-11</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9.</w:t>
            </w:r>
          </w:p>
        </w:tc>
        <w:tc>
          <w:tcPr>
            <w:tcW w:w="1200" w:type="dxa"/>
            <w:vAlign w:val="bottom"/>
            <w:tcBorders>
              <w:top w:val="single" w:sz="8" w:color="0000EE"/>
              <w:bottom w:val="single" w:sz="8" w:color="0000EE"/>
            </w:tcBorders>
            <w:gridSpan w:val="5"/>
          </w:tcPr>
          <w:p>
            <w:pPr>
              <w:spacing w:after="0"/>
              <w:rPr>
                <w:rFonts w:ascii="Arial" w:cs="Arial" w:eastAsia="Arial" w:hAnsi="Arial"/>
                <w:sz w:val="16"/>
                <w:szCs w:val="16"/>
                <w:b w:val="1"/>
                <w:bCs w:val="1"/>
                <w:color w:val="0000EE"/>
              </w:rPr>
            </w:pPr>
            <w:hyperlink w:anchor="page80">
              <w:r>
                <w:rPr>
                  <w:rFonts w:ascii="Arial" w:cs="Arial" w:eastAsia="Arial" w:hAnsi="Arial"/>
                  <w:sz w:val="16"/>
                  <w:szCs w:val="16"/>
                  <w:b w:val="1"/>
                  <w:bCs w:val="1"/>
                  <w:color w:val="0000EE"/>
                </w:rPr>
                <w:t>M</w:t>
              </w:r>
              <w:r>
                <w:rPr>
                  <w:rFonts w:ascii="Arial" w:cs="Arial" w:eastAsia="Arial" w:hAnsi="Arial"/>
                  <w:sz w:val="13"/>
                  <w:szCs w:val="13"/>
                  <w:b w:val="1"/>
                  <w:bCs w:val="1"/>
                  <w:color w:val="0000EE"/>
                </w:rPr>
                <w:t>ISCELLANEOUS</w:t>
              </w:r>
            </w:hyperlink>
          </w:p>
        </w:tc>
        <w:tc>
          <w:tcPr>
            <w:tcW w:w="120" w:type="dxa"/>
            <w:vAlign w:val="bottom"/>
            <w:tcBorders>
              <w:top w:val="single" w:sz="8" w:color="0000EE"/>
            </w:tcBorders>
          </w:tcPr>
          <w:p>
            <w:pPr>
              <w:spacing w:after="0"/>
              <w:rPr>
                <w:sz w:val="24"/>
                <w:szCs w:val="24"/>
                <w:color w:val="auto"/>
              </w:rPr>
            </w:pPr>
          </w:p>
        </w:tc>
        <w:tc>
          <w:tcPr>
            <w:tcW w:w="6740" w:type="dxa"/>
            <w:vAlign w:val="bottom"/>
            <w:gridSpan w:val="9"/>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A-12</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160" w:type="dxa"/>
            <w:vAlign w:val="bottom"/>
            <w:tcBorders>
              <w:bottom w:val="single" w:sz="8" w:color="0000EE"/>
            </w:tcBorders>
            <w:gridSpan w:val="9"/>
          </w:tcPr>
          <w:p>
            <w:pPr>
              <w:spacing w:after="0"/>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C</w:t>
              </w:r>
              <w:r>
                <w:rPr>
                  <w:rFonts w:ascii="Arial" w:cs="Arial" w:eastAsia="Arial" w:hAnsi="Arial"/>
                  <w:sz w:val="13"/>
                  <w:szCs w:val="13"/>
                  <w:b w:val="1"/>
                  <w:bCs w:val="1"/>
                  <w:color w:val="0000EE"/>
                </w:rPr>
                <w:t>OVENANTS OF THE</w:t>
              </w:r>
              <w:r>
                <w:rPr>
                  <w:rFonts w:ascii="Arial" w:cs="Arial" w:eastAsia="Arial" w:hAnsi="Arial"/>
                  <w:sz w:val="16"/>
                  <w:szCs w:val="16"/>
                  <w:b w:val="1"/>
                  <w:bCs w:val="1"/>
                  <w:color w:val="0000EE"/>
                </w:rPr>
                <w:t xml:space="preserve"> C</w:t>
              </w:r>
              <w:r>
                <w:rPr>
                  <w:rFonts w:ascii="Arial" w:cs="Arial" w:eastAsia="Arial" w:hAnsi="Arial"/>
                  <w:sz w:val="13"/>
                  <w:szCs w:val="13"/>
                  <w:b w:val="1"/>
                  <w:bCs w:val="1"/>
                  <w:color w:val="0000EE"/>
                </w:rPr>
                <w:t>OMPANY</w:t>
              </w:r>
            </w:hyperlink>
          </w:p>
        </w:tc>
        <w:tc>
          <w:tcPr>
            <w:tcW w:w="5900" w:type="dxa"/>
            <w:vAlign w:val="bottom"/>
            <w:gridSpan w:val="6"/>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A-15</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11.</w:t>
            </w:r>
          </w:p>
        </w:tc>
        <w:tc>
          <w:tcPr>
            <w:tcW w:w="4380" w:type="dxa"/>
            <w:vAlign w:val="bottom"/>
            <w:tcBorders>
              <w:bottom w:val="single" w:sz="8" w:color="0000EE"/>
            </w:tcBorders>
            <w:gridSpan w:val="12"/>
          </w:tcPr>
          <w:p>
            <w:pPr>
              <w:spacing w:after="0"/>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A</w:t>
              </w:r>
              <w:r>
                <w:rPr>
                  <w:rFonts w:ascii="Arial" w:cs="Arial" w:eastAsia="Arial" w:hAnsi="Arial"/>
                  <w:sz w:val="13"/>
                  <w:szCs w:val="13"/>
                  <w:b w:val="1"/>
                  <w:bCs w:val="1"/>
                  <w:color w:val="0000EE"/>
                </w:rPr>
                <w:t>DDITIONAL</w:t>
              </w:r>
              <w:r>
                <w:rPr>
                  <w:rFonts w:ascii="Arial" w:cs="Arial" w:eastAsia="Arial" w:hAnsi="Arial"/>
                  <w:sz w:val="16"/>
                  <w:szCs w:val="16"/>
                  <w:b w:val="1"/>
                  <w:bCs w:val="1"/>
                  <w:color w:val="0000EE"/>
                </w:rPr>
                <w:t xml:space="preserve"> R</w:t>
              </w:r>
              <w:r>
                <w:rPr>
                  <w:rFonts w:ascii="Arial" w:cs="Arial" w:eastAsia="Arial" w:hAnsi="Arial"/>
                  <w:sz w:val="13"/>
                  <w:szCs w:val="13"/>
                  <w:b w:val="1"/>
                  <w:bCs w:val="1"/>
                  <w:color w:val="0000EE"/>
                </w:rPr>
                <w:t>ULES FOR</w:t>
              </w:r>
              <w:r>
                <w:rPr>
                  <w:rFonts w:ascii="Arial" w:cs="Arial" w:eastAsia="Arial" w:hAnsi="Arial"/>
                  <w:sz w:val="16"/>
                  <w:szCs w:val="16"/>
                  <w:b w:val="1"/>
                  <w:bCs w:val="1"/>
                  <w:color w:val="0000EE"/>
                </w:rPr>
                <w:t xml:space="preserve"> A</w:t>
              </w:r>
              <w:r>
                <w:rPr>
                  <w:rFonts w:ascii="Arial" w:cs="Arial" w:eastAsia="Arial" w:hAnsi="Arial"/>
                  <w:sz w:val="13"/>
                  <w:szCs w:val="13"/>
                  <w:b w:val="1"/>
                  <w:bCs w:val="1"/>
                  <w:color w:val="0000EE"/>
                </w:rPr>
                <w:t>WARDS</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UBJECT TO</w:t>
              </w:r>
              <w:r>
                <w:rPr>
                  <w:rFonts w:ascii="Arial" w:cs="Arial" w:eastAsia="Arial" w:hAnsi="Arial"/>
                  <w:sz w:val="16"/>
                  <w:szCs w:val="16"/>
                  <w:b w:val="1"/>
                  <w:bCs w:val="1"/>
                  <w:color w:val="0000EE"/>
                </w:rPr>
                <w:t xml:space="preserve"> S</w:t>
              </w:r>
              <w:r>
                <w:rPr>
                  <w:rFonts w:ascii="Arial" w:cs="Arial" w:eastAsia="Arial" w:hAnsi="Arial"/>
                  <w:sz w:val="13"/>
                  <w:szCs w:val="13"/>
                  <w:b w:val="1"/>
                  <w:bCs w:val="1"/>
                  <w:color w:val="0000EE"/>
                </w:rPr>
                <w:t>ECTION</w:t>
              </w:r>
              <w:r>
                <w:rPr>
                  <w:rFonts w:ascii="Arial" w:cs="Arial" w:eastAsia="Arial" w:hAnsi="Arial"/>
                  <w:sz w:val="16"/>
                  <w:szCs w:val="16"/>
                  <w:b w:val="1"/>
                  <w:bCs w:val="1"/>
                  <w:color w:val="0000EE"/>
                </w:rPr>
                <w:t xml:space="preserve"> 409A</w:t>
              </w:r>
            </w:hyperlink>
          </w:p>
        </w:tc>
        <w:tc>
          <w:tcPr>
            <w:tcW w:w="3680" w:type="dxa"/>
            <w:vAlign w:val="bottom"/>
            <w:gridSpan w:val="3"/>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A-15</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12.</w:t>
            </w:r>
          </w:p>
        </w:tc>
        <w:tc>
          <w:tcPr>
            <w:tcW w:w="8060" w:type="dxa"/>
            <w:vAlign w:val="bottom"/>
            <w:gridSpan w:val="15"/>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S</w:t>
              </w:r>
              <w:r>
                <w:rPr>
                  <w:rFonts w:ascii="Arial" w:cs="Arial" w:eastAsia="Arial" w:hAnsi="Arial"/>
                  <w:sz w:val="13"/>
                  <w:szCs w:val="13"/>
                  <w:b w:val="1"/>
                  <w:bCs w:val="1"/>
                  <w:color w:val="0000EE"/>
                </w:rPr>
                <w:t>EVERABILITY</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A-18</w:t>
            </w: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13.</w:t>
            </w:r>
          </w:p>
        </w:tc>
        <w:tc>
          <w:tcPr>
            <w:tcW w:w="8060" w:type="dxa"/>
            <w:vAlign w:val="bottom"/>
            <w:gridSpan w:val="15"/>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T</w:t>
              </w:r>
              <w:r>
                <w:rPr>
                  <w:rFonts w:ascii="Arial" w:cs="Arial" w:eastAsia="Arial" w:hAnsi="Arial"/>
                  <w:sz w:val="13"/>
                  <w:szCs w:val="13"/>
                  <w:b w:val="1"/>
                  <w:bCs w:val="1"/>
                  <w:color w:val="0000EE"/>
                </w:rPr>
                <w:t>ERMINATION OF THE</w:t>
              </w:r>
              <w:r>
                <w:rPr>
                  <w:rFonts w:ascii="Arial" w:cs="Arial" w:eastAsia="Arial" w:hAnsi="Arial"/>
                  <w:sz w:val="16"/>
                  <w:szCs w:val="16"/>
                  <w:b w:val="1"/>
                  <w:bCs w:val="1"/>
                  <w:color w:val="0000EE"/>
                </w:rPr>
                <w:t xml:space="preserve"> P</w:t>
              </w:r>
              <w:r>
                <w:rPr>
                  <w:rFonts w:ascii="Arial" w:cs="Arial" w:eastAsia="Arial" w:hAnsi="Arial"/>
                  <w:sz w:val="13"/>
                  <w:szCs w:val="13"/>
                  <w:b w:val="1"/>
                  <w:bCs w:val="1"/>
                  <w:color w:val="0000EE"/>
                </w:rPr>
                <w:t>LAN</w:t>
              </w:r>
            </w:hyperlink>
          </w:p>
        </w:tc>
        <w:tc>
          <w:tcPr>
            <w:tcW w:w="2600" w:type="dxa"/>
            <w:vAlign w:val="bottom"/>
          </w:tcPr>
          <w:p>
            <w:pPr>
              <w:ind w:left="2180"/>
              <w:spacing w:after="0"/>
              <w:rPr>
                <w:sz w:val="20"/>
                <w:szCs w:val="20"/>
                <w:color w:val="auto"/>
              </w:rPr>
            </w:pPr>
            <w:r>
              <w:rPr>
                <w:rFonts w:ascii="Arial" w:cs="Arial" w:eastAsia="Arial" w:hAnsi="Arial"/>
                <w:sz w:val="16"/>
                <w:szCs w:val="16"/>
                <w:color w:val="auto"/>
              </w:rPr>
              <w:t>A-18</w:t>
            </w:r>
          </w:p>
        </w:tc>
      </w:tr>
      <w:tr>
        <w:trPr>
          <w:trHeight w:val="277"/>
        </w:trPr>
        <w:tc>
          <w:tcPr>
            <w:tcW w:w="360" w:type="dxa"/>
            <w:vAlign w:val="bottom"/>
          </w:tcPr>
          <w:p>
            <w:pPr>
              <w:spacing w:after="0"/>
              <w:rPr>
                <w:sz w:val="20"/>
                <w:szCs w:val="20"/>
                <w:color w:val="auto"/>
              </w:rPr>
            </w:pPr>
            <w:r>
              <w:rPr>
                <w:rFonts w:ascii="Arial" w:cs="Arial" w:eastAsia="Arial" w:hAnsi="Arial"/>
                <w:sz w:val="16"/>
                <w:szCs w:val="16"/>
                <w:b w:val="1"/>
                <w:bCs w:val="1"/>
                <w:color w:val="auto"/>
              </w:rPr>
              <w:t>14.</w:t>
            </w:r>
          </w:p>
        </w:tc>
        <w:tc>
          <w:tcPr>
            <w:tcW w:w="192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86">
              <w:r>
                <w:rPr>
                  <w:rFonts w:ascii="Arial" w:cs="Arial" w:eastAsia="Arial" w:hAnsi="Arial"/>
                  <w:sz w:val="16"/>
                  <w:szCs w:val="16"/>
                  <w:b w:val="1"/>
                  <w:bCs w:val="1"/>
                  <w:color w:val="0000EE"/>
                </w:rPr>
                <w:t>D</w:t>
              </w:r>
              <w:r>
                <w:rPr>
                  <w:rFonts w:ascii="Arial" w:cs="Arial" w:eastAsia="Arial" w:hAnsi="Arial"/>
                  <w:sz w:val="13"/>
                  <w:szCs w:val="13"/>
                  <w:b w:val="1"/>
                  <w:bCs w:val="1"/>
                  <w:color w:val="0000EE"/>
                </w:rPr>
                <w:t>EFINITIONS</w:t>
              </w:r>
            </w:hyperlink>
          </w:p>
        </w:tc>
        <w:tc>
          <w:tcPr>
            <w:tcW w:w="6140" w:type="dxa"/>
            <w:vAlign w:val="bottom"/>
            <w:gridSpan w:val="8"/>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16"/>
                <w:szCs w:val="16"/>
                <w:color w:val="auto"/>
              </w:rPr>
              <w:t>A-18</w:t>
            </w:r>
          </w:p>
        </w:tc>
      </w:tr>
      <w:tr>
        <w:trPr>
          <w:trHeight w:val="547"/>
        </w:trPr>
        <w:tc>
          <w:tcPr>
            <w:tcW w:w="3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107"/>
        </w:trPr>
        <w:tc>
          <w:tcPr>
            <w:tcW w:w="360" w:type="dxa"/>
            <w:vAlign w:val="bottom"/>
            <w:shd w:val="clear" w:color="auto" w:fill="FFF7ED"/>
          </w:tcPr>
          <w:p>
            <w:pPr>
              <w:spacing w:after="0"/>
              <w:rPr>
                <w:sz w:val="24"/>
                <w:szCs w:val="24"/>
                <w:color w:val="auto"/>
              </w:rPr>
            </w:pPr>
          </w:p>
        </w:tc>
        <w:tc>
          <w:tcPr>
            <w:tcW w:w="680" w:type="dxa"/>
            <w:vAlign w:val="bottom"/>
            <w:shd w:val="clear" w:color="auto" w:fill="FFF7ED"/>
          </w:tcPr>
          <w:p>
            <w:pPr>
              <w:spacing w:after="0"/>
              <w:rPr>
                <w:sz w:val="24"/>
                <w:szCs w:val="24"/>
                <w:color w:val="auto"/>
              </w:rPr>
            </w:pPr>
          </w:p>
        </w:tc>
        <w:tc>
          <w:tcPr>
            <w:tcW w:w="200" w:type="dxa"/>
            <w:vAlign w:val="bottom"/>
            <w:shd w:val="clear" w:color="auto" w:fill="FFF7ED"/>
          </w:tcPr>
          <w:p>
            <w:pPr>
              <w:spacing w:after="0"/>
              <w:rPr>
                <w:sz w:val="24"/>
                <w:szCs w:val="24"/>
                <w:color w:val="auto"/>
              </w:rPr>
            </w:pPr>
          </w:p>
        </w:tc>
        <w:tc>
          <w:tcPr>
            <w:tcW w:w="120" w:type="dxa"/>
            <w:vAlign w:val="bottom"/>
            <w:shd w:val="clear" w:color="auto" w:fill="FFF7ED"/>
          </w:tcPr>
          <w:p>
            <w:pPr>
              <w:spacing w:after="0"/>
              <w:rPr>
                <w:sz w:val="24"/>
                <w:szCs w:val="24"/>
                <w:color w:val="auto"/>
              </w:rPr>
            </w:pPr>
          </w:p>
        </w:tc>
        <w:tc>
          <w:tcPr>
            <w:tcW w:w="180" w:type="dxa"/>
            <w:vAlign w:val="bottom"/>
            <w:shd w:val="clear" w:color="auto" w:fill="FFF7ED"/>
          </w:tcPr>
          <w:p>
            <w:pPr>
              <w:spacing w:after="0"/>
              <w:rPr>
                <w:sz w:val="24"/>
                <w:szCs w:val="24"/>
                <w:color w:val="auto"/>
              </w:rPr>
            </w:pPr>
          </w:p>
        </w:tc>
        <w:tc>
          <w:tcPr>
            <w:tcW w:w="20" w:type="dxa"/>
            <w:vAlign w:val="bottom"/>
            <w:shd w:val="clear" w:color="auto" w:fill="FFF7ED"/>
          </w:tcPr>
          <w:p>
            <w:pPr>
              <w:spacing w:after="0"/>
              <w:rPr>
                <w:sz w:val="24"/>
                <w:szCs w:val="24"/>
                <w:color w:val="auto"/>
              </w:rPr>
            </w:pPr>
          </w:p>
        </w:tc>
        <w:tc>
          <w:tcPr>
            <w:tcW w:w="120" w:type="dxa"/>
            <w:vAlign w:val="bottom"/>
            <w:shd w:val="clear" w:color="auto" w:fill="FFF7ED"/>
          </w:tcPr>
          <w:p>
            <w:pPr>
              <w:spacing w:after="0"/>
              <w:rPr>
                <w:sz w:val="24"/>
                <w:szCs w:val="24"/>
                <w:color w:val="auto"/>
              </w:rPr>
            </w:pPr>
          </w:p>
        </w:tc>
        <w:tc>
          <w:tcPr>
            <w:tcW w:w="600" w:type="dxa"/>
            <w:vAlign w:val="bottom"/>
            <w:shd w:val="clear" w:color="auto" w:fill="FFF7ED"/>
          </w:tcPr>
          <w:p>
            <w:pPr>
              <w:spacing w:after="0"/>
              <w:rPr>
                <w:sz w:val="24"/>
                <w:szCs w:val="24"/>
                <w:color w:val="auto"/>
              </w:rPr>
            </w:pPr>
          </w:p>
        </w:tc>
        <w:tc>
          <w:tcPr>
            <w:tcW w:w="120" w:type="dxa"/>
            <w:vAlign w:val="bottom"/>
            <w:shd w:val="clear" w:color="auto" w:fill="FFF7ED"/>
          </w:tcPr>
          <w:p>
            <w:pPr>
              <w:spacing w:after="0"/>
              <w:rPr>
                <w:sz w:val="24"/>
                <w:szCs w:val="24"/>
                <w:color w:val="auto"/>
              </w:rPr>
            </w:pPr>
          </w:p>
        </w:tc>
        <w:tc>
          <w:tcPr>
            <w:tcW w:w="120" w:type="dxa"/>
            <w:vAlign w:val="bottom"/>
            <w:shd w:val="clear" w:color="auto" w:fill="FFF7ED"/>
          </w:tcPr>
          <w:p>
            <w:pPr>
              <w:spacing w:after="0"/>
              <w:rPr>
                <w:sz w:val="24"/>
                <w:szCs w:val="24"/>
                <w:color w:val="auto"/>
              </w:rPr>
            </w:pPr>
          </w:p>
        </w:tc>
        <w:tc>
          <w:tcPr>
            <w:tcW w:w="80" w:type="dxa"/>
            <w:vAlign w:val="bottom"/>
            <w:shd w:val="clear" w:color="auto" w:fill="FFF7ED"/>
          </w:tcPr>
          <w:p>
            <w:pPr>
              <w:spacing w:after="0"/>
              <w:rPr>
                <w:sz w:val="24"/>
                <w:szCs w:val="24"/>
                <w:color w:val="auto"/>
              </w:rPr>
            </w:pPr>
          </w:p>
        </w:tc>
        <w:tc>
          <w:tcPr>
            <w:tcW w:w="900" w:type="dxa"/>
            <w:vAlign w:val="bottom"/>
            <w:shd w:val="clear" w:color="auto" w:fill="FFF7ED"/>
          </w:tcPr>
          <w:p>
            <w:pPr>
              <w:spacing w:after="0"/>
              <w:rPr>
                <w:sz w:val="24"/>
                <w:szCs w:val="24"/>
                <w:color w:val="auto"/>
              </w:rPr>
            </w:pPr>
          </w:p>
        </w:tc>
        <w:tc>
          <w:tcPr>
            <w:tcW w:w="1240" w:type="dxa"/>
            <w:vAlign w:val="bottom"/>
            <w:shd w:val="clear" w:color="auto" w:fill="FFF7ED"/>
          </w:tcPr>
          <w:p>
            <w:pPr>
              <w:spacing w:after="0"/>
              <w:rPr>
                <w:sz w:val="24"/>
                <w:szCs w:val="24"/>
                <w:color w:val="auto"/>
              </w:rPr>
            </w:pPr>
          </w:p>
        </w:tc>
        <w:tc>
          <w:tcPr>
            <w:tcW w:w="400" w:type="dxa"/>
            <w:vAlign w:val="bottom"/>
            <w:shd w:val="clear" w:color="auto" w:fill="FFF7ED"/>
          </w:tcPr>
          <w:p>
            <w:pPr>
              <w:spacing w:after="0"/>
              <w:rPr>
                <w:sz w:val="24"/>
                <w:szCs w:val="24"/>
                <w:color w:val="auto"/>
              </w:rPr>
            </w:pPr>
          </w:p>
        </w:tc>
        <w:tc>
          <w:tcPr>
            <w:tcW w:w="980" w:type="dxa"/>
            <w:vAlign w:val="bottom"/>
            <w:shd w:val="clear" w:color="auto" w:fill="FFF7ED"/>
          </w:tcPr>
          <w:p>
            <w:pPr>
              <w:spacing w:after="0"/>
              <w:rPr>
                <w:sz w:val="24"/>
                <w:szCs w:val="24"/>
                <w:color w:val="auto"/>
              </w:rPr>
            </w:pPr>
          </w:p>
        </w:tc>
        <w:tc>
          <w:tcPr>
            <w:tcW w:w="2300" w:type="dxa"/>
            <w:vAlign w:val="bottom"/>
            <w:shd w:val="clear" w:color="auto" w:fill="FFF7ED"/>
          </w:tcPr>
          <w:p>
            <w:pPr>
              <w:spacing w:after="0"/>
              <w:rPr>
                <w:sz w:val="24"/>
                <w:szCs w:val="24"/>
                <w:color w:val="auto"/>
              </w:rPr>
            </w:pPr>
          </w:p>
        </w:tc>
        <w:tc>
          <w:tcPr>
            <w:tcW w:w="2600" w:type="dxa"/>
            <w:vAlign w:val="bottom"/>
            <w:shd w:val="clear" w:color="auto" w:fill="FFF7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-548005</wp:posOffset>
            </wp:positionV>
            <wp:extent cx="1337310" cy="548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37310" cy="5486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500" w:hanging="384"/>
        <w:spacing w:after="0"/>
        <w:tabs>
          <w:tab w:leader="none" w:pos="50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ENERAL</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940" w:hanging="384"/>
        <w:spacing w:after="0"/>
        <w:tabs>
          <w:tab w:leader="none" w:pos="940"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to and Continuation of Prior Plan. </w:t>
      </w:r>
      <w:r>
        <w:rPr>
          <w:rFonts w:ascii="Arial" w:cs="Arial" w:eastAsia="Arial" w:hAnsi="Arial"/>
          <w:sz w:val="16"/>
          <w:szCs w:val="16"/>
          <w:color w:val="auto"/>
        </w:rPr>
        <w:t>The Plan is the successor to and continuation of the Prior Plan. As of the Effective Date,</w:t>
      </w:r>
    </w:p>
    <w:p>
      <w:pPr>
        <w:spacing w:after="0" w:line="45" w:lineRule="exact"/>
        <w:rPr>
          <w:rFonts w:ascii="Arial" w:cs="Arial" w:eastAsia="Arial" w:hAnsi="Arial"/>
          <w:sz w:val="16"/>
          <w:szCs w:val="16"/>
          <w:b w:val="1"/>
          <w:bCs w:val="1"/>
          <w:color w:val="auto"/>
        </w:rPr>
      </w:pPr>
    </w:p>
    <w:p>
      <w:pPr>
        <w:ind w:left="120" w:right="40"/>
        <w:spacing w:after="0" w:line="312" w:lineRule="auto"/>
        <w:rPr>
          <w:rFonts w:ascii="Arial" w:cs="Arial" w:eastAsia="Arial" w:hAnsi="Arial"/>
          <w:sz w:val="16"/>
          <w:szCs w:val="16"/>
          <w:b w:val="1"/>
          <w:bCs w:val="1"/>
          <w:color w:val="auto"/>
        </w:rPr>
      </w:pPr>
      <w:r>
        <w:rPr>
          <w:rFonts w:ascii="Arial" w:cs="Arial" w:eastAsia="Arial" w:hAnsi="Arial"/>
          <w:sz w:val="16"/>
          <w:szCs w:val="16"/>
          <w:color w:val="auto"/>
        </w:rPr>
        <w:t>(i)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7" w:lineRule="exact"/>
        <w:rPr>
          <w:rFonts w:ascii="Arial" w:cs="Arial" w:eastAsia="Arial" w:hAnsi="Arial"/>
          <w:sz w:val="16"/>
          <w:szCs w:val="16"/>
          <w:b w:val="1"/>
          <w:bCs w:val="1"/>
          <w:color w:val="auto"/>
        </w:rPr>
      </w:pPr>
    </w:p>
    <w:p>
      <w:pPr>
        <w:jc w:val="both"/>
        <w:ind w:left="120" w:right="320" w:firstLine="436"/>
        <w:spacing w:after="0" w:line="319" w:lineRule="auto"/>
        <w:tabs>
          <w:tab w:leader="none" w:pos="947"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70" w:lineRule="exact"/>
        <w:rPr>
          <w:rFonts w:ascii="Arial" w:cs="Arial" w:eastAsia="Arial" w:hAnsi="Arial"/>
          <w:sz w:val="16"/>
          <w:szCs w:val="16"/>
          <w:b w:val="1"/>
          <w:bCs w:val="1"/>
          <w:color w:val="auto"/>
        </w:rPr>
      </w:pPr>
    </w:p>
    <w:p>
      <w:pPr>
        <w:ind w:left="940" w:hanging="384"/>
        <w:spacing w:after="0"/>
        <w:tabs>
          <w:tab w:leader="none" w:pos="940"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Plan provides for the grant of the following Awards: (i) Incentive Stock Options; (ii) Nonstatutory Stock Options;</w:t>
      </w:r>
    </w:p>
    <w:p>
      <w:pPr>
        <w:spacing w:after="0" w:line="46" w:lineRule="exact"/>
        <w:rPr>
          <w:sz w:val="20"/>
          <w:szCs w:val="20"/>
          <w:color w:val="auto"/>
        </w:rPr>
      </w:pPr>
    </w:p>
    <w:p>
      <w:pPr>
        <w:ind w:left="380" w:hanging="264"/>
        <w:spacing w:after="0"/>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SARs; (iv) Restricted Stock Awards; (v) RSU Awards; (vi) Performance Awards; and (vii) Other Awards.</w:t>
      </w:r>
    </w:p>
    <w:p>
      <w:pPr>
        <w:spacing w:after="0" w:line="261" w:lineRule="exact"/>
        <w:rPr>
          <w:rFonts w:ascii="Arial" w:cs="Arial" w:eastAsia="Arial" w:hAnsi="Arial"/>
          <w:sz w:val="16"/>
          <w:szCs w:val="16"/>
          <w:color w:val="auto"/>
        </w:rPr>
      </w:pPr>
    </w:p>
    <w:p>
      <w:pPr>
        <w:ind w:left="940" w:hanging="384"/>
        <w:spacing w:after="0"/>
        <w:tabs>
          <w:tab w:leader="none" w:pos="940" w:val="left"/>
        </w:tabs>
        <w:numPr>
          <w:ilvl w:val="1"/>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45"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color w:val="auto"/>
        </w:rPr>
        <w:t>Date.</w:t>
      </w:r>
    </w:p>
    <w:p>
      <w:pPr>
        <w:spacing w:after="0" w:line="347" w:lineRule="exact"/>
        <w:rPr>
          <w:sz w:val="20"/>
          <w:szCs w:val="20"/>
          <w:color w:val="auto"/>
        </w:rPr>
      </w:pPr>
    </w:p>
    <w:p>
      <w:pPr>
        <w:ind w:left="500" w:hanging="384"/>
        <w:spacing w:after="0"/>
        <w:tabs>
          <w:tab w:leader="none" w:pos="50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HARES</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UBJECT TO THE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120" w:firstLine="436"/>
        <w:spacing w:after="0" w:line="305" w:lineRule="auto"/>
        <w:tabs>
          <w:tab w:leader="none" w:pos="938"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 to implement any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Adjustments, the aggregate number of shares of Common Stock that may be issued pursuant to Awards will not exceed 12,062,125, plus the number of Returning Shares, if any, that become available for issuance from time to time (which number of Returning Shares will not exceed 10,459,699, which represents the total possible number of Returning Shares as of the Effective Date). In addition, subject to any adjustments as necessary to implement any Capitalization Adjustments, such aggregate number of shares of Common Stock will automatically increase on January 1st of each year for a period of nine years commencing on January 1, 2023 and ending on (and including) January 1, 2031, in an amount equal to five percent (5%) of the total number of shares of Capital Stock outstanding on the last day of the preceding calendar year; provided, however that the Board may act prior to the effective date of any such annual increase to provide that the increase for such year will be a lesser number of shares of Common Stock.</w:t>
      </w:r>
    </w:p>
    <w:p>
      <w:pPr>
        <w:spacing w:after="0" w:line="181" w:lineRule="exact"/>
        <w:rPr>
          <w:rFonts w:ascii="Arial" w:cs="Arial" w:eastAsia="Arial" w:hAnsi="Arial"/>
          <w:sz w:val="16"/>
          <w:szCs w:val="16"/>
          <w:b w:val="1"/>
          <w:bCs w:val="1"/>
          <w:color w:val="auto"/>
        </w:rPr>
      </w:pPr>
    </w:p>
    <w:p>
      <w:pPr>
        <w:ind w:left="120" w:right="20" w:firstLine="436"/>
        <w:spacing w:after="0" w:line="319" w:lineRule="auto"/>
        <w:tabs>
          <w:tab w:leader="none" w:pos="947"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Incentive Stock Option Limit. </w:t>
      </w:r>
      <w:r>
        <w:rPr>
          <w:rFonts w:ascii="Arial" w:cs="Arial" w:eastAsia="Arial" w:hAnsi="Arial"/>
          <w:sz w:val="16"/>
          <w:szCs w:val="16"/>
          <w:color w:val="auto"/>
        </w:rPr>
        <w:t>Notwithstanding anything to the contrary in Section 2(a) and subject to any adjustments as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implement any Capitalization Adjustments, the aggregate maximum number of shares of Common Stock that may be issued pursuant to the exercise of Incentive Stock Options is 53,000,000 shares.</w:t>
      </w:r>
    </w:p>
    <w:p>
      <w:pPr>
        <w:spacing w:after="0" w:line="278" w:lineRule="exact"/>
        <w:rPr>
          <w:rFonts w:ascii="Arial" w:cs="Arial" w:eastAsia="Arial" w:hAnsi="Arial"/>
          <w:sz w:val="16"/>
          <w:szCs w:val="16"/>
          <w:b w:val="1"/>
          <w:bCs w:val="1"/>
          <w:color w:val="auto"/>
        </w:rPr>
      </w:pPr>
    </w:p>
    <w:p>
      <w:pPr>
        <w:ind w:left="940" w:hanging="384"/>
        <w:spacing w:after="0"/>
        <w:tabs>
          <w:tab w:leader="none" w:pos="940"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Share Reserve Operation.</w:t>
      </w:r>
    </w:p>
    <w:p>
      <w:pPr>
        <w:spacing w:after="0" w:line="261" w:lineRule="exact"/>
        <w:rPr>
          <w:rFonts w:ascii="Arial" w:cs="Arial" w:eastAsia="Arial" w:hAnsi="Arial"/>
          <w:sz w:val="16"/>
          <w:szCs w:val="16"/>
          <w:b w:val="1"/>
          <w:bCs w:val="1"/>
          <w:color w:val="auto"/>
        </w:rPr>
      </w:pPr>
    </w:p>
    <w:p>
      <w:pPr>
        <w:ind w:left="120" w:right="20" w:firstLine="877"/>
        <w:spacing w:after="0" w:line="307" w:lineRule="auto"/>
        <w:tabs>
          <w:tab w:leader="none" w:pos="1334" w:val="left"/>
        </w:tabs>
        <w:numPr>
          <w:ilvl w:val="2"/>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 Applies to Common Stock Issued Pursuant to Awards. </w:t>
      </w:r>
      <w:r>
        <w:rPr>
          <w:rFonts w:ascii="Arial" w:cs="Arial" w:eastAsia="Arial" w:hAnsi="Arial"/>
          <w:sz w:val="16"/>
          <w:szCs w:val="16"/>
          <w:color w:val="auto"/>
        </w:rPr>
        <w:t>For clarity, the Share Reserve is a limit on the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40" w:firstLine="877"/>
        <w:spacing w:after="0" w:line="307" w:lineRule="auto"/>
        <w:tabs>
          <w:tab w:leader="none" w:pos="1379" w:val="left"/>
        </w:tabs>
        <w:numPr>
          <w:ilvl w:val="2"/>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80" w:lineRule="exact"/>
        <w:rPr>
          <w:rFonts w:ascii="Arial" w:cs="Arial" w:eastAsia="Arial" w:hAnsi="Arial"/>
          <w:sz w:val="16"/>
          <w:szCs w:val="16"/>
          <w:b w:val="1"/>
          <w:bCs w:val="1"/>
          <w:color w:val="auto"/>
        </w:rPr>
      </w:pPr>
    </w:p>
    <w:p>
      <w:pPr>
        <w:ind w:left="120" w:right="200" w:firstLine="877"/>
        <w:spacing w:after="0" w:line="309" w:lineRule="auto"/>
        <w:tabs>
          <w:tab w:leader="none" w:pos="1424" w:val="left"/>
        </w:tabs>
        <w:numPr>
          <w:ilvl w:val="2"/>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64" w:lineRule="exact"/>
        <w:rPr>
          <w:rFonts w:ascii="Arial" w:cs="Arial" w:eastAsia="Arial" w:hAnsi="Arial"/>
          <w:sz w:val="16"/>
          <w:szCs w:val="16"/>
          <w:b w:val="1"/>
          <w:bCs w:val="1"/>
          <w:color w:val="auto"/>
        </w:rPr>
      </w:pPr>
    </w:p>
    <w:p>
      <w:pPr>
        <w:ind w:left="500" w:hanging="384"/>
        <w:spacing w:after="0"/>
        <w:tabs>
          <w:tab w:leader="none" w:pos="50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LIGIBILITY AND</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IMITATIONS</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940" w:hanging="384"/>
        <w:spacing w:after="0"/>
        <w:tabs>
          <w:tab w:leader="none" w:pos="940"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Eligible Award Recipients. </w:t>
      </w:r>
      <w:r>
        <w:rPr>
          <w:rFonts w:ascii="Arial" w:cs="Arial" w:eastAsia="Arial" w:hAnsi="Arial"/>
          <w:sz w:val="16"/>
          <w:szCs w:val="16"/>
          <w:color w:val="auto"/>
        </w:rPr>
        <w:t>Subject to the terms of the Plan, Employees, Directors and Consultants are eligible to receive Awards.</w:t>
      </w:r>
    </w:p>
    <w:p>
      <w:pPr>
        <w:spacing w:after="0" w:line="369" w:lineRule="exact"/>
        <w:rPr>
          <w:rFonts w:ascii="Arial" w:cs="Arial" w:eastAsia="Arial" w:hAnsi="Arial"/>
          <w:sz w:val="16"/>
          <w:szCs w:val="16"/>
          <w:b w:val="1"/>
          <w:bCs w:val="1"/>
          <w:color w:val="auto"/>
        </w:rPr>
      </w:pPr>
    </w:p>
    <w:p>
      <w:pPr>
        <w:ind w:left="940" w:hanging="384"/>
        <w:spacing w:after="0"/>
        <w:tabs>
          <w:tab w:leader="none" w:pos="940"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Specific Award Limitations.</w:t>
      </w:r>
    </w:p>
    <w:p>
      <w:pPr>
        <w:spacing w:after="0" w:line="261" w:lineRule="exact"/>
        <w:rPr>
          <w:rFonts w:ascii="Arial" w:cs="Arial" w:eastAsia="Arial" w:hAnsi="Arial"/>
          <w:sz w:val="16"/>
          <w:szCs w:val="16"/>
          <w:b w:val="1"/>
          <w:bCs w:val="1"/>
          <w:color w:val="auto"/>
        </w:rPr>
      </w:pPr>
    </w:p>
    <w:p>
      <w:pPr>
        <w:ind w:left="120" w:right="200" w:firstLine="877"/>
        <w:spacing w:after="0" w:line="339" w:lineRule="auto"/>
        <w:tabs>
          <w:tab w:leader="none" w:pos="1334" w:val="left"/>
        </w:tabs>
        <w:numPr>
          <w:ilvl w:val="2"/>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 Recipients. </w:t>
      </w:r>
      <w:r>
        <w:rPr>
          <w:rFonts w:ascii="Arial" w:cs="Arial" w:eastAsia="Arial" w:hAnsi="Arial"/>
          <w:sz w:val="16"/>
          <w:szCs w:val="16"/>
          <w:color w:val="auto"/>
        </w:rPr>
        <w:t>Incentive Stock Options may be granted only to Employees of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corporation” or “subsidiary corporation” thereof (as such terms are defined in Sections 424(e) and (f) of the Code).</w:t>
      </w:r>
    </w:p>
    <w:p>
      <w:pPr>
        <w:spacing w:after="0" w:line="155" w:lineRule="exact"/>
        <w:rPr>
          <w:rFonts w:ascii="Arial" w:cs="Arial" w:eastAsia="Arial" w:hAnsi="Arial"/>
          <w:sz w:val="16"/>
          <w:szCs w:val="16"/>
          <w:b w:val="1"/>
          <w:bCs w:val="1"/>
          <w:color w:val="auto"/>
        </w:rPr>
      </w:pPr>
    </w:p>
    <w:p>
      <w:pPr>
        <w:ind w:left="120" w:right="60" w:firstLine="877"/>
        <w:spacing w:after="0" w:line="310" w:lineRule="auto"/>
        <w:tabs>
          <w:tab w:leader="none" w:pos="1379" w:val="left"/>
        </w:tabs>
        <w:numPr>
          <w:ilvl w:val="2"/>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$100,000 Limitation. </w:t>
      </w:r>
      <w:r>
        <w:rPr>
          <w:rFonts w:ascii="Arial" w:cs="Arial" w:eastAsia="Arial" w:hAnsi="Arial"/>
          <w:sz w:val="16"/>
          <w:szCs w:val="16"/>
          <w:color w:val="auto"/>
        </w:rPr>
        <w:t>To the extent that the aggregate Fair Market Value (determined at the time of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00" w:lineRule="exact"/>
        <w:rPr>
          <w:rFonts w:ascii="Arial" w:cs="Arial" w:eastAsia="Arial" w:hAnsi="Arial"/>
          <w:sz w:val="16"/>
          <w:szCs w:val="16"/>
          <w:b w:val="1"/>
          <w:bCs w:val="1"/>
          <w:color w:val="auto"/>
        </w:rPr>
      </w:pPr>
    </w:p>
    <w:p>
      <w:pPr>
        <w:spacing w:after="0" w:line="204" w:lineRule="exact"/>
        <w:rPr>
          <w:rFonts w:ascii="Arial" w:cs="Arial" w:eastAsia="Arial" w:hAnsi="Arial"/>
          <w:sz w:val="16"/>
          <w:szCs w:val="16"/>
          <w:b w:val="1"/>
          <w:bCs w:val="1"/>
          <w:color w:val="auto"/>
        </w:rPr>
      </w:pPr>
    </w:p>
    <w:p>
      <w:pPr>
        <w:ind w:left="120" w:firstLine="877"/>
        <w:spacing w:after="0" w:line="319" w:lineRule="auto"/>
        <w:tabs>
          <w:tab w:leader="none" w:pos="1424" w:val="left"/>
        </w:tabs>
        <w:numPr>
          <w:ilvl w:val="2"/>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70" w:lineRule="exact"/>
        <w:rPr>
          <w:rFonts w:ascii="Arial" w:cs="Arial" w:eastAsia="Arial" w:hAnsi="Arial"/>
          <w:sz w:val="16"/>
          <w:szCs w:val="16"/>
          <w:b w:val="1"/>
          <w:bCs w:val="1"/>
          <w:color w:val="auto"/>
        </w:rPr>
      </w:pPr>
    </w:p>
    <w:p>
      <w:pPr>
        <w:jc w:val="both"/>
        <w:ind w:left="120" w:right="260" w:firstLine="877"/>
        <w:spacing w:after="0" w:line="312" w:lineRule="auto"/>
        <w:tabs>
          <w:tab w:leader="none" w:pos="1424" w:val="left"/>
        </w:tabs>
        <w:numPr>
          <w:ilvl w:val="2"/>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Nonstatutory Stock Options and SARs. </w:t>
      </w:r>
      <w:r>
        <w:rPr>
          <w:rFonts w:ascii="Arial" w:cs="Arial" w:eastAsia="Arial" w:hAnsi="Arial"/>
          <w:sz w:val="16"/>
          <w:szCs w:val="16"/>
          <w:color w:val="auto"/>
        </w:rPr>
        <w:t>Nonstatutory Stock Options and SARs may not be granted to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77" w:lineRule="exact"/>
        <w:rPr>
          <w:rFonts w:ascii="Arial" w:cs="Arial" w:eastAsia="Arial" w:hAnsi="Arial"/>
          <w:sz w:val="16"/>
          <w:szCs w:val="16"/>
          <w:b w:val="1"/>
          <w:bCs w:val="1"/>
          <w:color w:val="auto"/>
        </w:rPr>
      </w:pPr>
    </w:p>
    <w:p>
      <w:pPr>
        <w:ind w:left="120" w:right="120" w:firstLine="436"/>
        <w:spacing w:after="0" w:line="339" w:lineRule="auto"/>
        <w:tabs>
          <w:tab w:leader="none" w:pos="938"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Incentive Stock Option Limit. </w:t>
      </w:r>
      <w:r>
        <w:rPr>
          <w:rFonts w:ascii="Arial" w:cs="Arial" w:eastAsia="Arial" w:hAnsi="Arial"/>
          <w:sz w:val="16"/>
          <w:szCs w:val="16"/>
          <w:color w:val="auto"/>
        </w:rPr>
        <w:t>The aggregate maximum number of shares of Common Stock that may be issued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Incentive Stock Options is the number of shares specified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A-2</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firstLine="436"/>
        <w:spacing w:after="0" w:line="307" w:lineRule="auto"/>
        <w:tabs>
          <w:tab w:leader="none" w:pos="947" w:val="left"/>
        </w:tabs>
        <w:numPr>
          <w:ilvl w:val="1"/>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Non-Employee Director Compensation Limit. </w:t>
      </w:r>
      <w:r>
        <w:rPr>
          <w:rFonts w:ascii="Arial" w:cs="Arial" w:eastAsia="Arial" w:hAnsi="Arial"/>
          <w:sz w:val="16"/>
          <w:szCs w:val="16"/>
          <w:color w:val="auto"/>
        </w:rPr>
        <w:t>The aggregate value of all compensation granted or paid, as applicable, to any individual for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beginning with the first calendar year that commences following the Effective Date.</w:t>
      </w:r>
    </w:p>
    <w:p>
      <w:pPr>
        <w:spacing w:after="0" w:line="265" w:lineRule="exact"/>
        <w:rPr>
          <w:rFonts w:ascii="Arial" w:cs="Arial" w:eastAsia="Arial" w:hAnsi="Arial"/>
          <w:sz w:val="16"/>
          <w:szCs w:val="16"/>
          <w:b w:val="1"/>
          <w:bCs w:val="1"/>
          <w:color w:val="auto"/>
        </w:rPr>
      </w:pPr>
    </w:p>
    <w:p>
      <w:pPr>
        <w:ind w:left="500" w:hanging="384"/>
        <w:spacing w:after="0"/>
        <w:tabs>
          <w:tab w:leader="none" w:pos="50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PTIONS AND</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PPRECIATION</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IGHTS</w:t>
      </w:r>
      <w:r>
        <w:rPr>
          <w:rFonts w:ascii="Arial" w:cs="Arial" w:eastAsia="Arial" w:hAnsi="Arial"/>
          <w:sz w:val="20"/>
          <w:szCs w:val="20"/>
          <w:b w:val="1"/>
          <w:bCs w:val="1"/>
          <w:color w:val="auto"/>
        </w:rPr>
        <w:t>.</w:t>
      </w:r>
    </w:p>
    <w:p>
      <w:pPr>
        <w:spacing w:after="0" w:line="225" w:lineRule="exact"/>
        <w:rPr>
          <w:sz w:val="20"/>
          <w:szCs w:val="20"/>
          <w:color w:val="auto"/>
        </w:rPr>
      </w:pPr>
    </w:p>
    <w:p>
      <w:pPr>
        <w:ind w:left="120" w:right="20" w:firstLine="440"/>
        <w:spacing w:after="0" w:line="307" w:lineRule="auto"/>
        <w:rPr>
          <w:sz w:val="20"/>
          <w:szCs w:val="20"/>
          <w:color w:val="auto"/>
        </w:rPr>
      </w:pPr>
      <w:r>
        <w:rPr>
          <w:rFonts w:ascii="Arial" w:cs="Arial" w:eastAsia="Arial" w:hAnsi="Arial"/>
          <w:sz w:val="16"/>
          <w:szCs w:val="16"/>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The shares purchased upon exercise of each type of Option will be accounted for separately.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81" w:lineRule="exact"/>
        <w:rPr>
          <w:sz w:val="20"/>
          <w:szCs w:val="20"/>
          <w:color w:val="auto"/>
        </w:rPr>
      </w:pPr>
    </w:p>
    <w:p>
      <w:pPr>
        <w:ind w:left="120" w:right="220" w:firstLine="436"/>
        <w:spacing w:after="0" w:line="339" w:lineRule="auto"/>
        <w:tabs>
          <w:tab w:leader="none" w:pos="938"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Section 3(b) regarding Incentive Stock Options granted to Ten Percent Stockholders, no Option or SAR will be exercisable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expiration of ten years from the date of grant of such Award or such shorter period specified in the Award Agreement.</w:t>
      </w:r>
    </w:p>
    <w:p>
      <w:pPr>
        <w:spacing w:after="0" w:line="155" w:lineRule="exact"/>
        <w:rPr>
          <w:rFonts w:ascii="Arial" w:cs="Arial" w:eastAsia="Arial" w:hAnsi="Arial"/>
          <w:sz w:val="16"/>
          <w:szCs w:val="16"/>
          <w:b w:val="1"/>
          <w:bCs w:val="1"/>
          <w:color w:val="auto"/>
        </w:rPr>
      </w:pPr>
    </w:p>
    <w:p>
      <w:pPr>
        <w:ind w:left="120" w:right="20" w:firstLine="436"/>
        <w:spacing w:after="0" w:line="309" w:lineRule="auto"/>
        <w:tabs>
          <w:tab w:leader="none" w:pos="947"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or Strike Price. </w:t>
      </w:r>
      <w:r>
        <w:rPr>
          <w:rFonts w:ascii="Arial" w:cs="Arial" w:eastAsia="Arial" w:hAnsi="Arial"/>
          <w:sz w:val="16"/>
          <w:szCs w:val="16"/>
          <w:color w:val="auto"/>
        </w:rPr>
        <w:t>Subject to Section 3(b) regarding Ten Percent Stockholders, the exercise or strike price of each Option or SAR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79" w:lineRule="exact"/>
        <w:rPr>
          <w:rFonts w:ascii="Arial" w:cs="Arial" w:eastAsia="Arial" w:hAnsi="Arial"/>
          <w:sz w:val="16"/>
          <w:szCs w:val="16"/>
          <w:b w:val="1"/>
          <w:bCs w:val="1"/>
          <w:color w:val="auto"/>
        </w:rPr>
      </w:pPr>
    </w:p>
    <w:p>
      <w:pPr>
        <w:ind w:left="120" w:firstLine="436"/>
        <w:spacing w:after="0" w:line="307" w:lineRule="auto"/>
        <w:tabs>
          <w:tab w:leader="none" w:pos="938"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Exercise Price for Options. </w:t>
      </w:r>
      <w:r>
        <w:rPr>
          <w:rFonts w:ascii="Arial" w:cs="Arial" w:eastAsia="Arial" w:hAnsi="Arial"/>
          <w:sz w:val="16"/>
          <w:szCs w:val="16"/>
          <w:color w:val="auto"/>
        </w:rPr>
        <w:t>In order to exercise an Option, the Participant must provide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0" w:lineRule="exact"/>
        <w:rPr>
          <w:rFonts w:ascii="Arial" w:cs="Arial" w:eastAsia="Arial" w:hAnsi="Arial"/>
          <w:sz w:val="16"/>
          <w:szCs w:val="16"/>
          <w:b w:val="1"/>
          <w:bCs w:val="1"/>
          <w:color w:val="auto"/>
        </w:rPr>
      </w:pPr>
    </w:p>
    <w:p>
      <w:pPr>
        <w:ind w:left="1340" w:hanging="343"/>
        <w:spacing w:after="0"/>
        <w:tabs>
          <w:tab w:leader="none" w:pos="1340"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by cash or check, bank draft or money order (or an electronic equivalent thereof) payable to the Company;</w:t>
      </w:r>
    </w:p>
    <w:p>
      <w:pPr>
        <w:spacing w:after="0" w:line="261" w:lineRule="exact"/>
        <w:rPr>
          <w:rFonts w:ascii="Arial" w:cs="Arial" w:eastAsia="Arial" w:hAnsi="Arial"/>
          <w:sz w:val="16"/>
          <w:szCs w:val="16"/>
          <w:b w:val="1"/>
          <w:bCs w:val="1"/>
          <w:color w:val="auto"/>
        </w:rPr>
      </w:pPr>
    </w:p>
    <w:p>
      <w:pPr>
        <w:ind w:left="120" w:right="220" w:firstLine="877"/>
        <w:spacing w:after="0" w:line="319" w:lineRule="auto"/>
        <w:tabs>
          <w:tab w:leader="none" w:pos="1379"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0" w:lineRule="exact"/>
        <w:rPr>
          <w:rFonts w:ascii="Arial" w:cs="Arial" w:eastAsia="Arial" w:hAnsi="Arial"/>
          <w:sz w:val="16"/>
          <w:szCs w:val="16"/>
          <w:b w:val="1"/>
          <w:bCs w:val="1"/>
          <w:color w:val="auto"/>
        </w:rPr>
      </w:pPr>
    </w:p>
    <w:p>
      <w:pPr>
        <w:ind w:left="120" w:right="120" w:firstLine="877"/>
        <w:spacing w:after="0" w:line="312" w:lineRule="auto"/>
        <w:tabs>
          <w:tab w:leader="none" w:pos="1424"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A-3</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color w:val="auto"/>
        </w:rPr>
        <w:t>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77" w:lineRule="exact"/>
        <w:rPr>
          <w:sz w:val="20"/>
          <w:szCs w:val="20"/>
          <w:color w:val="auto"/>
        </w:rPr>
      </w:pPr>
    </w:p>
    <w:p>
      <w:pPr>
        <w:ind w:left="120" w:right="260" w:firstLine="877"/>
        <w:spacing w:after="0" w:line="299" w:lineRule="auto"/>
        <w:tabs>
          <w:tab w:leader="none" w:pos="1424" w:val="left"/>
        </w:tabs>
        <w:numPr>
          <w:ilvl w:val="2"/>
          <w:numId w:val="81"/>
        </w:numPr>
        <w:rPr>
          <w:rFonts w:ascii="Arial" w:cs="Arial" w:eastAsia="Arial" w:hAnsi="Arial"/>
          <w:sz w:val="16"/>
          <w:szCs w:val="16"/>
          <w:b w:val="1"/>
          <w:bCs w:val="1"/>
          <w:color w:val="auto"/>
        </w:rPr>
      </w:pPr>
      <w:r>
        <w:rPr>
          <w:rFonts w:ascii="Arial" w:cs="Arial" w:eastAsia="Arial" w:hAnsi="Arial"/>
          <w:sz w:val="16"/>
          <w:szCs w:val="16"/>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w:t>
      </w:r>
    </w:p>
    <w:p>
      <w:pPr>
        <w:ind w:left="120" w:right="80" w:hanging="4"/>
        <w:spacing w:after="0" w:line="339" w:lineRule="auto"/>
        <w:tabs>
          <w:tab w:leader="none" w:pos="363"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shares used to pay the exercise price will not be exercisable thereafter and (2) any remaining balance of the exercise price not satisfied by such net exercise is paid by the Participant in cash or other permitted form of payment; or</w:t>
      </w:r>
    </w:p>
    <w:p>
      <w:pPr>
        <w:spacing w:after="0" w:line="155" w:lineRule="exact"/>
        <w:rPr>
          <w:rFonts w:ascii="Arial" w:cs="Arial" w:eastAsia="Arial" w:hAnsi="Arial"/>
          <w:sz w:val="16"/>
          <w:szCs w:val="16"/>
          <w:color w:val="auto"/>
        </w:rPr>
      </w:pPr>
    </w:p>
    <w:p>
      <w:pPr>
        <w:ind w:left="1380" w:hanging="383"/>
        <w:spacing w:after="0"/>
        <w:tabs>
          <w:tab w:leader="none" w:pos="1380" w:val="left"/>
        </w:tabs>
        <w:numPr>
          <w:ilvl w:val="2"/>
          <w:numId w:val="82"/>
        </w:numPr>
        <w:rPr>
          <w:rFonts w:ascii="Arial" w:cs="Arial" w:eastAsia="Arial" w:hAnsi="Arial"/>
          <w:sz w:val="16"/>
          <w:szCs w:val="16"/>
          <w:b w:val="1"/>
          <w:bCs w:val="1"/>
          <w:color w:val="auto"/>
        </w:rPr>
      </w:pPr>
      <w:r>
        <w:rPr>
          <w:rFonts w:ascii="Arial" w:cs="Arial" w:eastAsia="Arial" w:hAnsi="Arial"/>
          <w:sz w:val="16"/>
          <w:szCs w:val="16"/>
          <w:color w:val="auto"/>
        </w:rPr>
        <w:t>in any other form of consideration that may be acceptable to the Board and permissible under Applicable Law.</w:t>
      </w:r>
    </w:p>
    <w:p>
      <w:pPr>
        <w:spacing w:after="0" w:line="261" w:lineRule="exact"/>
        <w:rPr>
          <w:rFonts w:ascii="Arial" w:cs="Arial" w:eastAsia="Arial" w:hAnsi="Arial"/>
          <w:sz w:val="16"/>
          <w:szCs w:val="16"/>
          <w:b w:val="1"/>
          <w:bCs w:val="1"/>
          <w:color w:val="auto"/>
        </w:rPr>
      </w:pPr>
    </w:p>
    <w:p>
      <w:pPr>
        <w:ind w:left="120" w:right="240" w:firstLine="436"/>
        <w:spacing w:after="0" w:line="307" w:lineRule="auto"/>
        <w:tabs>
          <w:tab w:leader="none" w:pos="947"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Appreciation Distribution for SARs. </w:t>
      </w:r>
      <w:r>
        <w:rPr>
          <w:rFonts w:ascii="Arial" w:cs="Arial" w:eastAsia="Arial" w:hAnsi="Arial"/>
          <w:sz w:val="16"/>
          <w:szCs w:val="16"/>
          <w:color w:val="auto"/>
        </w:rPr>
        <w:t>In order to exercise any SAR, the Participant must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0" w:lineRule="exact"/>
        <w:rPr>
          <w:rFonts w:ascii="Arial" w:cs="Arial" w:eastAsia="Arial" w:hAnsi="Arial"/>
          <w:sz w:val="16"/>
          <w:szCs w:val="16"/>
          <w:b w:val="1"/>
          <w:bCs w:val="1"/>
          <w:color w:val="auto"/>
        </w:rPr>
      </w:pPr>
    </w:p>
    <w:p>
      <w:pPr>
        <w:jc w:val="both"/>
        <w:ind w:left="120" w:right="40" w:firstLine="436"/>
        <w:spacing w:after="0" w:line="309" w:lineRule="auto"/>
        <w:tabs>
          <w:tab w:leader="none" w:pos="938"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Options and SARs may not be transferred to third party financial institutions for value. The Board may impose such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an Option is an Incentive Stock Option, such Option may be deemed to be a Nonstatutory Stock Option as a result of such transfer:</w:t>
      </w:r>
    </w:p>
    <w:p>
      <w:pPr>
        <w:spacing w:after="0" w:line="179" w:lineRule="exact"/>
        <w:rPr>
          <w:rFonts w:ascii="Arial" w:cs="Arial" w:eastAsia="Arial" w:hAnsi="Arial"/>
          <w:sz w:val="16"/>
          <w:szCs w:val="16"/>
          <w:b w:val="1"/>
          <w:bCs w:val="1"/>
          <w:color w:val="auto"/>
        </w:rPr>
      </w:pPr>
    </w:p>
    <w:p>
      <w:pPr>
        <w:ind w:left="120" w:firstLine="877"/>
        <w:spacing w:after="0" w:line="309" w:lineRule="auto"/>
        <w:tabs>
          <w:tab w:leader="none" w:pos="1334" w:val="left"/>
        </w:tabs>
        <w:numPr>
          <w:ilvl w:val="2"/>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79" w:lineRule="exact"/>
        <w:rPr>
          <w:rFonts w:ascii="Arial" w:cs="Arial" w:eastAsia="Arial" w:hAnsi="Arial"/>
          <w:sz w:val="16"/>
          <w:szCs w:val="16"/>
          <w:b w:val="1"/>
          <w:bCs w:val="1"/>
          <w:color w:val="auto"/>
        </w:rPr>
      </w:pPr>
    </w:p>
    <w:p>
      <w:pPr>
        <w:ind w:left="120" w:right="120" w:firstLine="877"/>
        <w:spacing w:after="0" w:line="319" w:lineRule="auto"/>
        <w:tabs>
          <w:tab w:leader="none" w:pos="1379" w:val="left"/>
        </w:tabs>
        <w:numPr>
          <w:ilvl w:val="2"/>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Domestic Relations Orders. </w:t>
      </w:r>
      <w:r>
        <w:rPr>
          <w:rFonts w:ascii="Arial" w:cs="Arial" w:eastAsia="Arial" w:hAnsi="Arial"/>
          <w:sz w:val="16"/>
          <w:szCs w:val="16"/>
          <w:color w:val="auto"/>
        </w:rPr>
        <w:t>Notwithstanding the foregoing, subject to the execution of transfer documentation in a format acceptable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and subject to the approval of the Board or a duly authorized Officer, an Option or SAR may be transferred pursuant to a domestic relations order.</w:t>
      </w:r>
    </w:p>
    <w:p>
      <w:pPr>
        <w:spacing w:after="0" w:line="170" w:lineRule="exact"/>
        <w:rPr>
          <w:rFonts w:ascii="Arial" w:cs="Arial" w:eastAsia="Arial" w:hAnsi="Arial"/>
          <w:sz w:val="16"/>
          <w:szCs w:val="16"/>
          <w:b w:val="1"/>
          <w:bCs w:val="1"/>
          <w:color w:val="auto"/>
        </w:rPr>
      </w:pPr>
    </w:p>
    <w:p>
      <w:pPr>
        <w:ind w:left="120" w:right="200" w:firstLine="436"/>
        <w:spacing w:after="0" w:line="319" w:lineRule="auto"/>
        <w:tabs>
          <w:tab w:leader="none" w:pos="902"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and/or exercisability of an Option or SAR as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0" w:lineRule="exact"/>
        <w:rPr>
          <w:rFonts w:ascii="Arial" w:cs="Arial" w:eastAsia="Arial" w:hAnsi="Arial"/>
          <w:sz w:val="16"/>
          <w:szCs w:val="16"/>
          <w:b w:val="1"/>
          <w:bCs w:val="1"/>
          <w:color w:val="auto"/>
        </w:rPr>
      </w:pPr>
    </w:p>
    <w:p>
      <w:pPr>
        <w:ind w:left="120" w:right="120" w:firstLine="436"/>
        <w:spacing w:after="0" w:line="339" w:lineRule="auto"/>
        <w:tabs>
          <w:tab w:leader="none" w:pos="947"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for Cause. </w:t>
      </w:r>
      <w:r>
        <w:rPr>
          <w:rFonts w:ascii="Arial" w:cs="Arial" w:eastAsia="Arial" w:hAnsi="Arial"/>
          <w:sz w:val="16"/>
          <w:szCs w:val="16"/>
          <w:color w:val="auto"/>
        </w:rPr>
        <w:t>Except as explicitly otherwise provided in the Award Agreement or other written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 Participant and the Company or an Affiliate, if 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A-4</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312" w:lineRule="auto"/>
        <w:rPr>
          <w:sz w:val="20"/>
          <w:szCs w:val="20"/>
          <w:color w:val="auto"/>
        </w:rPr>
      </w:pPr>
      <w:r>
        <w:rPr>
          <w:rFonts w:ascii="Arial" w:cs="Arial" w:eastAsia="Arial" w:hAnsi="Arial"/>
          <w:sz w:val="16"/>
          <w:szCs w:val="16"/>
          <w:color w:val="auto"/>
        </w:rPr>
        <w:t>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77" w:lineRule="exact"/>
        <w:rPr>
          <w:sz w:val="20"/>
          <w:szCs w:val="20"/>
          <w:color w:val="auto"/>
        </w:rPr>
      </w:pPr>
    </w:p>
    <w:p>
      <w:pPr>
        <w:ind w:left="940" w:hanging="384"/>
        <w:spacing w:after="0"/>
        <w:tabs>
          <w:tab w:leader="none" w:pos="9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Post-Termination Exercise Period Following Termination of Continuous Service for Reasons Other than Cause. </w:t>
      </w:r>
      <w:r>
        <w:rPr>
          <w:rFonts w:ascii="Arial" w:cs="Arial" w:eastAsia="Arial" w:hAnsi="Arial"/>
          <w:sz w:val="16"/>
          <w:szCs w:val="16"/>
          <w:color w:val="auto"/>
        </w:rPr>
        <w:t>Subject to</w:t>
      </w:r>
    </w:p>
    <w:p>
      <w:pPr>
        <w:spacing w:after="0" w:line="46" w:lineRule="exact"/>
        <w:rPr>
          <w:sz w:val="20"/>
          <w:szCs w:val="20"/>
          <w:color w:val="auto"/>
        </w:rPr>
      </w:pPr>
    </w:p>
    <w:p>
      <w:pPr>
        <w:ind w:left="120" w:right="40"/>
        <w:spacing w:after="0" w:line="312" w:lineRule="auto"/>
        <w:rPr>
          <w:sz w:val="20"/>
          <w:szCs w:val="20"/>
          <w:color w:val="auto"/>
        </w:rPr>
      </w:pPr>
      <w:r>
        <w:rPr>
          <w:rFonts w:ascii="Arial" w:cs="Arial" w:eastAsia="Arial" w:hAnsi="Arial"/>
          <w:sz w:val="16"/>
          <w:szCs w:val="16"/>
          <w:color w:val="auto"/>
        </w:rPr>
        <w:t>Section 4(i), if a Participant’s Continuous Service terminates for any reason other than for Cause, the Participant may exercise their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77" w:lineRule="exact"/>
        <w:rPr>
          <w:sz w:val="20"/>
          <w:szCs w:val="20"/>
          <w:color w:val="auto"/>
        </w:rPr>
      </w:pPr>
    </w:p>
    <w:p>
      <w:pPr>
        <w:ind w:left="120" w:right="40" w:firstLine="877"/>
        <w:spacing w:after="0" w:line="339" w:lineRule="auto"/>
        <w:tabs>
          <w:tab w:leader="none" w:pos="1334"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three months following the date of such termination if such termination is a termination without Cause (other than any termination due to the Participant’s Disability or death);</w:t>
      </w:r>
    </w:p>
    <w:p>
      <w:pPr>
        <w:spacing w:after="0" w:line="155" w:lineRule="exact"/>
        <w:rPr>
          <w:rFonts w:ascii="Arial" w:cs="Arial" w:eastAsia="Arial" w:hAnsi="Arial"/>
          <w:sz w:val="16"/>
          <w:szCs w:val="16"/>
          <w:b w:val="1"/>
          <w:bCs w:val="1"/>
          <w:color w:val="auto"/>
        </w:rPr>
      </w:pPr>
    </w:p>
    <w:p>
      <w:pPr>
        <w:ind w:left="1380" w:hanging="383"/>
        <w:spacing w:after="0"/>
        <w:tabs>
          <w:tab w:leader="none" w:pos="138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12 months following the date of such termination if such termination is due to the Participant’s Disability;</w:t>
      </w:r>
    </w:p>
    <w:p>
      <w:pPr>
        <w:spacing w:after="0" w:line="261" w:lineRule="exact"/>
        <w:rPr>
          <w:rFonts w:ascii="Arial" w:cs="Arial" w:eastAsia="Arial" w:hAnsi="Arial"/>
          <w:sz w:val="16"/>
          <w:szCs w:val="16"/>
          <w:b w:val="1"/>
          <w:bCs w:val="1"/>
          <w:color w:val="auto"/>
        </w:rPr>
      </w:pPr>
    </w:p>
    <w:p>
      <w:pPr>
        <w:ind w:left="1420" w:hanging="423"/>
        <w:spacing w:after="0"/>
        <w:tabs>
          <w:tab w:leader="none" w:pos="1420"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18 months following the date of such termination if such termination is due to the Participant’s death; or</w:t>
      </w:r>
    </w:p>
    <w:p>
      <w:pPr>
        <w:spacing w:after="0" w:line="261" w:lineRule="exact"/>
        <w:rPr>
          <w:rFonts w:ascii="Arial" w:cs="Arial" w:eastAsia="Arial" w:hAnsi="Arial"/>
          <w:sz w:val="16"/>
          <w:szCs w:val="16"/>
          <w:b w:val="1"/>
          <w:bCs w:val="1"/>
          <w:color w:val="auto"/>
        </w:rPr>
      </w:pPr>
    </w:p>
    <w:p>
      <w:pPr>
        <w:ind w:left="120" w:right="40" w:firstLine="877"/>
        <w:spacing w:after="0" w:line="339" w:lineRule="auto"/>
        <w:tabs>
          <w:tab w:leader="none" w:pos="1424"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18 months following the date of the Participant’s death if such death occurs following the date of such termination but during the period such Award is otherwise exercisable (as provided in (i) or (ii) above).</w:t>
      </w:r>
    </w:p>
    <w:p>
      <w:pPr>
        <w:spacing w:after="0" w:line="155" w:lineRule="exact"/>
        <w:rPr>
          <w:sz w:val="20"/>
          <w:szCs w:val="20"/>
          <w:color w:val="auto"/>
        </w:rPr>
      </w:pPr>
    </w:p>
    <w:p>
      <w:pPr>
        <w:ind w:left="120" w:right="20"/>
        <w:spacing w:after="0" w:line="312" w:lineRule="auto"/>
        <w:rPr>
          <w:sz w:val="20"/>
          <w:szCs w:val="20"/>
          <w:color w:val="auto"/>
        </w:rPr>
      </w:pPr>
      <w:r>
        <w:rPr>
          <w:rFonts w:ascii="Arial" w:cs="Arial" w:eastAsia="Arial" w:hAnsi="Arial"/>
          <w:sz w:val="16"/>
          <w:szCs w:val="16"/>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7" w:lineRule="exact"/>
        <w:rPr>
          <w:sz w:val="20"/>
          <w:szCs w:val="20"/>
          <w:color w:val="auto"/>
        </w:rPr>
      </w:pPr>
    </w:p>
    <w:p>
      <w:pPr>
        <w:ind w:left="120" w:firstLine="436"/>
        <w:spacing w:after="0" w:line="303" w:lineRule="auto"/>
        <w:tabs>
          <w:tab w:leader="none" w:pos="893"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8" w:lineRule="exact"/>
        <w:rPr>
          <w:rFonts w:ascii="Arial" w:cs="Arial" w:eastAsia="Arial" w:hAnsi="Arial"/>
          <w:sz w:val="16"/>
          <w:szCs w:val="16"/>
          <w:b w:val="1"/>
          <w:bCs w:val="1"/>
          <w:color w:val="auto"/>
        </w:rPr>
      </w:pPr>
    </w:p>
    <w:p>
      <w:pPr>
        <w:ind w:left="120" w:firstLine="436"/>
        <w:spacing w:after="0" w:line="312" w:lineRule="auto"/>
        <w:tabs>
          <w:tab w:leader="none" w:pos="893"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A-5</w:t>
      </w:r>
    </w:p>
    <w:p>
      <w:pPr>
        <w:sectPr>
          <w:pgSz w:w="11900" w:h="16838" w:orient="portrait"/>
          <w:cols w:equalWidth="0" w:num="1">
            <w:col w:w="11080"/>
          </w:cols>
          <w:pgMar w:left="32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309" w:lineRule="auto"/>
        <w:rPr>
          <w:sz w:val="20"/>
          <w:szCs w:val="20"/>
          <w:color w:val="auto"/>
        </w:rPr>
      </w:pPr>
      <w:r>
        <w:rPr>
          <w:rFonts w:ascii="Arial" w:cs="Arial" w:eastAsia="Arial" w:hAnsi="Arial"/>
          <w:sz w:val="16"/>
          <w:szCs w:val="16"/>
          <w:color w:val="auto"/>
        </w:rPr>
        <w:t>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their regular rate of pay.</w:t>
      </w:r>
    </w:p>
    <w:p>
      <w:pPr>
        <w:spacing w:after="0" w:line="179" w:lineRule="exact"/>
        <w:rPr>
          <w:sz w:val="20"/>
          <w:szCs w:val="20"/>
          <w:color w:val="auto"/>
        </w:rPr>
      </w:pPr>
    </w:p>
    <w:p>
      <w:pPr>
        <w:ind w:left="940" w:hanging="384"/>
        <w:spacing w:after="0"/>
        <w:tabs>
          <w:tab w:leader="none" w:pos="940"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Whole Shares. </w:t>
      </w:r>
      <w:r>
        <w:rPr>
          <w:rFonts w:ascii="Arial" w:cs="Arial" w:eastAsia="Arial" w:hAnsi="Arial"/>
          <w:sz w:val="16"/>
          <w:szCs w:val="16"/>
          <w:color w:val="auto"/>
        </w:rPr>
        <w:t>Options and SARs may be exercised only with respect to whole shares of Common Stock or their equivalents.</w:t>
      </w:r>
    </w:p>
    <w:p>
      <w:pPr>
        <w:spacing w:after="0" w:line="346" w:lineRule="exact"/>
        <w:rPr>
          <w:rFonts w:ascii="Arial" w:cs="Arial" w:eastAsia="Arial" w:hAnsi="Arial"/>
          <w:sz w:val="16"/>
          <w:szCs w:val="16"/>
          <w:b w:val="1"/>
          <w:bCs w:val="1"/>
          <w:color w:val="auto"/>
        </w:rPr>
      </w:pPr>
    </w:p>
    <w:p>
      <w:pPr>
        <w:ind w:left="500" w:hanging="384"/>
        <w:spacing w:after="0"/>
        <w:tabs>
          <w:tab w:leader="none" w:pos="50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WARDS</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HAN</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PTIONS AND</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PPRECIATION</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IGHTS</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120" w:right="740" w:firstLine="436"/>
        <w:spacing w:after="0" w:line="319" w:lineRule="auto"/>
        <w:tabs>
          <w:tab w:leader="none" w:pos="938" w:val="left"/>
        </w:tabs>
        <w:numPr>
          <w:ilvl w:val="1"/>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278" w:lineRule="exact"/>
        <w:rPr>
          <w:rFonts w:ascii="Arial" w:cs="Arial" w:eastAsia="Arial" w:hAnsi="Arial"/>
          <w:sz w:val="16"/>
          <w:szCs w:val="16"/>
          <w:b w:val="1"/>
          <w:bCs w:val="1"/>
          <w:color w:val="auto"/>
        </w:rPr>
      </w:pPr>
    </w:p>
    <w:p>
      <w:pPr>
        <w:ind w:left="1340" w:hanging="343"/>
        <w:spacing w:after="0"/>
        <w:tabs>
          <w:tab w:leader="none" w:pos="1340" w:val="left"/>
        </w:tabs>
        <w:numPr>
          <w:ilvl w:val="2"/>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Form of Award.</w:t>
      </w:r>
    </w:p>
    <w:p>
      <w:pPr>
        <w:spacing w:after="0" w:line="261" w:lineRule="exact"/>
        <w:rPr>
          <w:rFonts w:ascii="Arial" w:cs="Arial" w:eastAsia="Arial" w:hAnsi="Arial"/>
          <w:sz w:val="16"/>
          <w:szCs w:val="16"/>
          <w:b w:val="1"/>
          <w:bCs w:val="1"/>
          <w:color w:val="auto"/>
        </w:rPr>
      </w:pPr>
    </w:p>
    <w:p>
      <w:pPr>
        <w:ind w:left="120" w:right="140" w:firstLine="1318"/>
        <w:spacing w:after="0" w:line="309" w:lineRule="auto"/>
        <w:tabs>
          <w:tab w:leader="none" w:pos="1820" w:val="left"/>
        </w:tabs>
        <w:numPr>
          <w:ilvl w:val="3"/>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RSAs</w:t>
      </w:r>
      <w:r>
        <w:rPr>
          <w:rFonts w:ascii="Arial" w:cs="Arial" w:eastAsia="Arial" w:hAnsi="Arial"/>
          <w:sz w:val="16"/>
          <w:szCs w:val="16"/>
          <w:color w:val="auto"/>
        </w:rPr>
        <w:t>. To the extent consistent with the Company’s Bylaws, at the Board’s election, shares of Common Stock subject to a</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79" w:lineRule="exact"/>
        <w:rPr>
          <w:rFonts w:ascii="Arial" w:cs="Arial" w:eastAsia="Arial" w:hAnsi="Arial"/>
          <w:sz w:val="16"/>
          <w:szCs w:val="16"/>
          <w:b w:val="1"/>
          <w:bCs w:val="1"/>
          <w:color w:val="auto"/>
        </w:rPr>
      </w:pPr>
    </w:p>
    <w:p>
      <w:pPr>
        <w:ind w:left="120" w:firstLine="1318"/>
        <w:spacing w:after="0" w:line="307" w:lineRule="auto"/>
        <w:tabs>
          <w:tab w:leader="none" w:pos="1820" w:val="left"/>
        </w:tabs>
        <w:numPr>
          <w:ilvl w:val="3"/>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RSUs</w:t>
      </w:r>
      <w:r>
        <w:rPr>
          <w:rFonts w:ascii="Arial" w:cs="Arial" w:eastAsia="Arial" w:hAnsi="Arial"/>
          <w:sz w:val="16"/>
          <w:szCs w:val="16"/>
          <w:color w:val="auto"/>
        </w:rPr>
        <w:t>. An RSU Award represents a Participant’s right to be issued on a future date the number of shares of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88" w:lineRule="exact"/>
        <w:rPr>
          <w:rFonts w:ascii="Arial" w:cs="Arial" w:eastAsia="Arial" w:hAnsi="Arial"/>
          <w:sz w:val="16"/>
          <w:szCs w:val="16"/>
          <w:b w:val="1"/>
          <w:bCs w:val="1"/>
          <w:color w:val="auto"/>
        </w:rPr>
      </w:pPr>
    </w:p>
    <w:p>
      <w:pPr>
        <w:ind w:left="1380" w:hanging="383"/>
        <w:spacing w:after="0"/>
        <w:tabs>
          <w:tab w:leader="none" w:pos="1380" w:val="left"/>
        </w:tabs>
        <w:numPr>
          <w:ilvl w:val="2"/>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Consideration.</w:t>
      </w:r>
    </w:p>
    <w:p>
      <w:pPr>
        <w:spacing w:after="0" w:line="261" w:lineRule="exact"/>
        <w:rPr>
          <w:rFonts w:ascii="Arial" w:cs="Arial" w:eastAsia="Arial" w:hAnsi="Arial"/>
          <w:sz w:val="16"/>
          <w:szCs w:val="16"/>
          <w:b w:val="1"/>
          <w:bCs w:val="1"/>
          <w:color w:val="auto"/>
        </w:rPr>
      </w:pPr>
    </w:p>
    <w:p>
      <w:pPr>
        <w:jc w:val="both"/>
        <w:ind w:left="120" w:right="100" w:firstLine="1318"/>
        <w:spacing w:after="0" w:line="319" w:lineRule="auto"/>
        <w:tabs>
          <w:tab w:leader="none" w:pos="1820" w:val="left"/>
        </w:tabs>
        <w:numPr>
          <w:ilvl w:val="3"/>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RSA</w:t>
      </w:r>
      <w:r>
        <w:rPr>
          <w:rFonts w:ascii="Arial" w:cs="Arial" w:eastAsia="Arial" w:hAnsi="Arial"/>
          <w:sz w:val="16"/>
          <w:szCs w:val="16"/>
          <w:color w:val="auto"/>
        </w:rPr>
        <w:t>. A Restricted Stock Award may be granted in consideration for (A) cash or check, bank draft or money order payable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 past services to the Company or an Affiliate, or (C) any other form of consideration (including future services) as the Board may determine and permissible under Applicable Law.</w:t>
      </w:r>
    </w:p>
    <w:p>
      <w:pPr>
        <w:spacing w:after="0" w:line="170" w:lineRule="exact"/>
        <w:rPr>
          <w:rFonts w:ascii="Arial" w:cs="Arial" w:eastAsia="Arial" w:hAnsi="Arial"/>
          <w:sz w:val="16"/>
          <w:szCs w:val="16"/>
          <w:b w:val="1"/>
          <w:bCs w:val="1"/>
          <w:color w:val="auto"/>
        </w:rPr>
      </w:pPr>
    </w:p>
    <w:p>
      <w:pPr>
        <w:ind w:left="120" w:right="40" w:firstLine="1318"/>
        <w:spacing w:after="0" w:line="307" w:lineRule="auto"/>
        <w:tabs>
          <w:tab w:leader="none" w:pos="1820" w:val="left"/>
        </w:tabs>
        <w:numPr>
          <w:ilvl w:val="3"/>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RSU</w:t>
      </w:r>
      <w:r>
        <w:rPr>
          <w:rFonts w:ascii="Arial" w:cs="Arial" w:eastAsia="Arial" w:hAnsi="Arial"/>
          <w:sz w:val="16"/>
          <w:szCs w:val="16"/>
          <w:color w:val="auto"/>
        </w:rPr>
        <w:t>. Unless otherwise determined by the Board at the time of grant, an RSU Award will be granted in consideration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A-6</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60" w:firstLine="877"/>
        <w:spacing w:after="0" w:line="319" w:lineRule="auto"/>
        <w:tabs>
          <w:tab w:leader="none" w:pos="1424" w:val="left"/>
        </w:tabs>
        <w:numPr>
          <w:ilvl w:val="2"/>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70" w:lineRule="exact"/>
        <w:rPr>
          <w:rFonts w:ascii="Arial" w:cs="Arial" w:eastAsia="Arial" w:hAnsi="Arial"/>
          <w:sz w:val="16"/>
          <w:szCs w:val="16"/>
          <w:b w:val="1"/>
          <w:bCs w:val="1"/>
          <w:color w:val="auto"/>
        </w:rPr>
      </w:pPr>
    </w:p>
    <w:p>
      <w:pPr>
        <w:ind w:left="120" w:right="100" w:firstLine="877"/>
        <w:spacing w:after="0" w:line="307" w:lineRule="auto"/>
        <w:tabs>
          <w:tab w:leader="none" w:pos="1424" w:val="left"/>
        </w:tabs>
        <w:numPr>
          <w:ilvl w:val="2"/>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Award Agreement or other written agreement between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their Restricted Stock Award that have not vested as of the date of such termination as set forth in the Restricted Stock Award Agreement and (2) any portion of their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0" w:lineRule="exact"/>
        <w:rPr>
          <w:rFonts w:ascii="Arial" w:cs="Arial" w:eastAsia="Arial" w:hAnsi="Arial"/>
          <w:sz w:val="16"/>
          <w:szCs w:val="16"/>
          <w:b w:val="1"/>
          <w:bCs w:val="1"/>
          <w:color w:val="auto"/>
        </w:rPr>
      </w:pPr>
    </w:p>
    <w:p>
      <w:pPr>
        <w:ind w:left="120" w:right="120" w:firstLine="877"/>
        <w:spacing w:after="0" w:line="339" w:lineRule="auto"/>
        <w:tabs>
          <w:tab w:leader="none" w:pos="1379" w:val="left"/>
        </w:tabs>
        <w:numPr>
          <w:ilvl w:val="2"/>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55" w:lineRule="exact"/>
        <w:rPr>
          <w:rFonts w:ascii="Arial" w:cs="Arial" w:eastAsia="Arial" w:hAnsi="Arial"/>
          <w:sz w:val="16"/>
          <w:szCs w:val="16"/>
          <w:b w:val="1"/>
          <w:bCs w:val="1"/>
          <w:color w:val="auto"/>
        </w:rPr>
      </w:pPr>
    </w:p>
    <w:p>
      <w:pPr>
        <w:ind w:left="120" w:firstLine="877"/>
        <w:spacing w:after="0" w:line="319" w:lineRule="auto"/>
        <w:tabs>
          <w:tab w:leader="none" w:pos="1424" w:val="left"/>
        </w:tabs>
        <w:numPr>
          <w:ilvl w:val="2"/>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Arial" w:cs="Arial" w:eastAsia="Arial" w:hAnsi="Arial"/>
          <w:sz w:val="16"/>
          <w:szCs w:val="16"/>
          <w:b w:val="1"/>
          <w:bCs w:val="1"/>
          <w:color w:val="auto"/>
        </w:rPr>
      </w:pPr>
    </w:p>
    <w:p>
      <w:pPr>
        <w:ind w:left="120" w:right="560" w:firstLine="436"/>
        <w:spacing w:after="0" w:line="319" w:lineRule="auto"/>
        <w:tabs>
          <w:tab w:leader="none" w:pos="947"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Awards</w:t>
      </w:r>
      <w:r>
        <w:rPr>
          <w:rFonts w:ascii="Arial" w:cs="Arial" w:eastAsia="Arial" w:hAnsi="Arial"/>
          <w:sz w:val="16"/>
          <w:szCs w:val="16"/>
          <w:color w:val="auto"/>
        </w:rPr>
        <w:t>. With respect to any Performance Award, the length of any Performance Period, the Performance Goals to be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achieved during the Performance Period, the other terms and conditions of such Award, and the measure of whether and to what degree such Performance Goals have been attained will be determined by the Board.</w:t>
      </w:r>
    </w:p>
    <w:p>
      <w:pPr>
        <w:spacing w:after="0" w:line="170" w:lineRule="exact"/>
        <w:rPr>
          <w:rFonts w:ascii="Arial" w:cs="Arial" w:eastAsia="Arial" w:hAnsi="Arial"/>
          <w:sz w:val="16"/>
          <w:szCs w:val="16"/>
          <w:b w:val="1"/>
          <w:bCs w:val="1"/>
          <w:color w:val="auto"/>
        </w:rPr>
      </w:pPr>
    </w:p>
    <w:p>
      <w:pPr>
        <w:ind w:left="120" w:right="180" w:firstLine="436"/>
        <w:spacing w:after="0" w:line="307" w:lineRule="auto"/>
        <w:tabs>
          <w:tab w:leader="none" w:pos="938"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Other Awards</w:t>
      </w:r>
      <w:r>
        <w:rPr>
          <w:rFonts w:ascii="Arial" w:cs="Arial" w:eastAsia="Arial" w:hAnsi="Arial"/>
          <w:sz w:val="16"/>
          <w:szCs w:val="16"/>
          <w:color w:val="auto"/>
        </w:rPr>
        <w:t>. Other forms of Awards valued in whole or in part by reference to, or otherwise based on, Common Stock,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65" w:lineRule="exact"/>
        <w:rPr>
          <w:rFonts w:ascii="Arial" w:cs="Arial" w:eastAsia="Arial" w:hAnsi="Arial"/>
          <w:sz w:val="16"/>
          <w:szCs w:val="16"/>
          <w:b w:val="1"/>
          <w:bCs w:val="1"/>
          <w:color w:val="auto"/>
        </w:rPr>
      </w:pPr>
    </w:p>
    <w:p>
      <w:pPr>
        <w:ind w:left="500" w:hanging="384"/>
        <w:spacing w:after="0"/>
        <w:tabs>
          <w:tab w:leader="none" w:pos="50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DJUSTMENTS UPON</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HANGES IN</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OMMON</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TOCK</w:t>
      </w:r>
      <w:r>
        <w:rPr>
          <w:rFonts w:ascii="Arial" w:cs="Arial" w:eastAsia="Arial" w:hAnsi="Arial"/>
          <w:sz w:val="20"/>
          <w:szCs w:val="20"/>
          <w:b w:val="1"/>
          <w:bCs w:val="1"/>
          <w:color w:val="auto"/>
        </w:rPr>
        <w:t>; 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ORPORATE</w:t>
      </w:r>
      <w:r>
        <w:rPr>
          <w:rFonts w:ascii="Arial" w:cs="Arial" w:eastAsia="Arial" w:hAnsi="Arial"/>
          <w:sz w:val="20"/>
          <w:szCs w:val="20"/>
          <w:b w:val="1"/>
          <w:bCs w:val="1"/>
          <w:color w:val="auto"/>
        </w:rPr>
        <w:t xml:space="preserve"> E</w:t>
      </w:r>
      <w:r>
        <w:rPr>
          <w:rFonts w:ascii="Arial" w:cs="Arial" w:eastAsia="Arial" w:hAnsi="Arial"/>
          <w:sz w:val="16"/>
          <w:szCs w:val="16"/>
          <w:b w:val="1"/>
          <w:bCs w:val="1"/>
          <w:color w:val="auto"/>
        </w:rPr>
        <w:t>VENTS</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120" w:right="20" w:firstLine="436"/>
        <w:spacing w:after="0" w:line="305" w:lineRule="auto"/>
        <w:tabs>
          <w:tab w:leader="none" w:pos="938"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In the event of a Capitalization Adjustment, the Board shall appropriately and proportionately adjust: (i)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1" w:lineRule="exact"/>
        <w:rPr>
          <w:rFonts w:ascii="Arial" w:cs="Arial" w:eastAsia="Arial" w:hAnsi="Arial"/>
          <w:sz w:val="16"/>
          <w:szCs w:val="16"/>
          <w:b w:val="1"/>
          <w:bCs w:val="1"/>
          <w:color w:val="auto"/>
        </w:rPr>
      </w:pPr>
    </w:p>
    <w:p>
      <w:pPr>
        <w:ind w:left="120" w:right="600" w:firstLine="436"/>
        <w:spacing w:after="0" w:line="339" w:lineRule="auto"/>
        <w:tabs>
          <w:tab w:leader="none" w:pos="947"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all outstanding Awards (other than Awards consisting of vested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A-7</w:t>
      </w:r>
    </w:p>
    <w:p>
      <w:pPr>
        <w:sectPr>
          <w:pgSz w:w="11900" w:h="16838" w:orient="portrait"/>
          <w:cols w:equalWidth="0" w:num="1">
            <w:col w:w="11000"/>
          </w:cols>
          <w:pgMar w:left="320" w:top="455" w:right="5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307" w:lineRule="auto"/>
        <w:rPr>
          <w:sz w:val="20"/>
          <w:szCs w:val="20"/>
          <w:color w:val="auto"/>
        </w:rPr>
      </w:pPr>
      <w:r>
        <w:rPr>
          <w:rFonts w:ascii="Arial" w:cs="Arial" w:eastAsia="Arial" w:hAnsi="Arial"/>
          <w:sz w:val="16"/>
          <w:szCs w:val="16"/>
          <w:color w:val="auto"/>
        </w:rPr>
        <w:t>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1" w:lineRule="exact"/>
        <w:rPr>
          <w:sz w:val="20"/>
          <w:szCs w:val="20"/>
          <w:color w:val="auto"/>
        </w:rPr>
      </w:pPr>
    </w:p>
    <w:p>
      <w:pPr>
        <w:ind w:left="120" w:right="180" w:firstLine="436"/>
        <w:spacing w:after="0" w:line="319" w:lineRule="auto"/>
        <w:tabs>
          <w:tab w:leader="none" w:pos="938"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 </w:t>
      </w:r>
      <w:r>
        <w:rPr>
          <w:rFonts w:ascii="Arial" w:cs="Arial" w:eastAsia="Arial" w:hAnsi="Arial"/>
          <w:sz w:val="16"/>
          <w:szCs w:val="16"/>
          <w:color w:val="auto"/>
        </w:rPr>
        <w:t>The following provisions will apply to Awards in the event of a Corporate Transaction, except as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62" w:lineRule="exact"/>
        <w:rPr>
          <w:rFonts w:ascii="Arial" w:cs="Arial" w:eastAsia="Arial" w:hAnsi="Arial"/>
          <w:sz w:val="16"/>
          <w:szCs w:val="16"/>
          <w:b w:val="1"/>
          <w:bCs w:val="1"/>
          <w:color w:val="auto"/>
        </w:rPr>
      </w:pPr>
    </w:p>
    <w:p>
      <w:pPr>
        <w:ind w:left="120" w:right="20" w:firstLine="877"/>
        <w:spacing w:after="0" w:line="305" w:lineRule="auto"/>
        <w:tabs>
          <w:tab w:leader="none" w:pos="1334" w:val="left"/>
        </w:tabs>
        <w:numPr>
          <w:ilvl w:val="1"/>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May Be Assumed. </w:t>
      </w:r>
      <w:r>
        <w:rPr>
          <w:rFonts w:ascii="Arial" w:cs="Arial" w:eastAsia="Arial" w:hAnsi="Arial"/>
          <w:sz w:val="16"/>
          <w:szCs w:val="16"/>
          <w:color w:val="auto"/>
        </w:rPr>
        <w:t>In the event of a Corporate Transaction, any surviving or acquiring corporation (or the surviving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or acquiring corporation (or its applicable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3" w:lineRule="exact"/>
        <w:rPr>
          <w:rFonts w:ascii="Arial" w:cs="Arial" w:eastAsia="Arial" w:hAnsi="Arial"/>
          <w:sz w:val="16"/>
          <w:szCs w:val="16"/>
          <w:b w:val="1"/>
          <w:bCs w:val="1"/>
          <w:color w:val="auto"/>
        </w:rPr>
      </w:pPr>
    </w:p>
    <w:p>
      <w:pPr>
        <w:ind w:left="120" w:right="20" w:firstLine="877"/>
        <w:spacing w:after="0" w:line="301" w:lineRule="auto"/>
        <w:tabs>
          <w:tab w:leader="none" w:pos="1379" w:val="left"/>
        </w:tabs>
        <w:numPr>
          <w:ilvl w:val="1"/>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 surviving or acquiring corporation (or its</w:t>
      </w:r>
      <w:r>
        <w:rPr>
          <w:rFonts w:ascii="Arial" w:cs="Arial" w:eastAsia="Arial" w:hAnsi="Arial"/>
          <w:sz w:val="16"/>
          <w:szCs w:val="16"/>
          <w:b w:val="1"/>
          <w:bCs w:val="1"/>
          <w:color w:val="auto"/>
        </w:rPr>
        <w:t xml:space="preserve"> </w:t>
      </w:r>
      <w:r>
        <w:rPr>
          <w:rFonts w:ascii="Arial" w:cs="Arial" w:eastAsia="Arial" w:hAnsi="Arial"/>
          <w:sz w:val="16"/>
          <w:szCs w:val="16"/>
          <w:color w:val="auto"/>
        </w:rPr>
        <w:t>parent company) does not assume or continue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that the Board determines (or, if the Board does not determine such a date, to the date that is five (5) days prior to the effective time of the Corporate Transaction). Awards so accelerated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(a) will accelerate upon the occurrence of a Corporate Transaction pursuant to this subsection (ii) and (b) have multiple vesting levels depending on the level of performance, unless otherwise provided in the Award Agreement or unless otherwise provided by the Board, the vesting of such Performance Awards will accelerate at 100% of the target level upon the occurrence of a Corporate Transaction in which the Awards are not assumed, continued or substituted for in accordance with Section 6(c)(i). With respect to the vesting of cash-settled Awards that will accelerate upon the occurrence of a Corporate Transaction pursuant to this subsection (ii), such cash payment will be made no later than 30 days following the occurrence of the Corporate Transaction or such later date as required by Section 409A of the Code. Notwithstanding the foregoing, an Award Agreement may specify, or the Board may determine, that a Performance Award that would otherwise accelerate upon the occurrence of a Corporate Transaction pursuant to this subsection (ii) may instead accelerate to a greater or lesser extent (or not at all) or may instead be subject to some other treatment, including cancellation of such Award for no consideration.</w:t>
      </w:r>
    </w:p>
    <w:p>
      <w:pPr>
        <w:spacing w:after="0" w:line="316" w:lineRule="exact"/>
        <w:rPr>
          <w:rFonts w:ascii="Arial" w:cs="Arial" w:eastAsia="Arial" w:hAnsi="Arial"/>
          <w:sz w:val="16"/>
          <w:szCs w:val="16"/>
          <w:b w:val="1"/>
          <w:bCs w:val="1"/>
          <w:color w:val="auto"/>
        </w:rPr>
      </w:pPr>
    </w:p>
    <w:p>
      <w:pPr>
        <w:jc w:val="both"/>
        <w:ind w:left="120" w:firstLine="877"/>
        <w:spacing w:after="0" w:line="319" w:lineRule="auto"/>
        <w:tabs>
          <w:tab w:leader="none" w:pos="1424" w:val="left"/>
        </w:tabs>
        <w:numPr>
          <w:ilvl w:val="1"/>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Persons other than Current Participants. </w:t>
      </w:r>
      <w:r>
        <w:rPr>
          <w:rFonts w:ascii="Arial" w:cs="Arial" w:eastAsia="Arial" w:hAnsi="Arial"/>
          <w:sz w:val="16"/>
          <w:szCs w:val="16"/>
          <w:color w:val="auto"/>
        </w:rPr>
        <w:t>In the event of a Corporate Transaction in which the surviving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A-8</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319" w:lineRule="auto"/>
        <w:rPr>
          <w:sz w:val="20"/>
          <w:szCs w:val="20"/>
          <w:color w:val="auto"/>
        </w:rPr>
      </w:pPr>
      <w:r>
        <w:rPr>
          <w:rFonts w:ascii="Arial" w:cs="Arial" w:eastAsia="Arial" w:hAnsi="Arial"/>
          <w:sz w:val="16"/>
          <w:szCs w:val="16"/>
          <w:color w:val="auto"/>
        </w:rPr>
        <w:t>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71" w:lineRule="exact"/>
        <w:rPr>
          <w:sz w:val="20"/>
          <w:szCs w:val="20"/>
          <w:color w:val="auto"/>
        </w:rPr>
      </w:pPr>
    </w:p>
    <w:p>
      <w:pPr>
        <w:ind w:left="120" w:right="80" w:firstLine="877"/>
        <w:spacing w:after="0" w:line="309" w:lineRule="auto"/>
        <w:tabs>
          <w:tab w:leader="none" w:pos="1424" w:val="left"/>
        </w:tabs>
        <w:numPr>
          <w:ilvl w:val="2"/>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 for Awards in Lieu of Exercise. </w:t>
      </w:r>
      <w:r>
        <w:rPr>
          <w:rFonts w:ascii="Arial" w:cs="Arial" w:eastAsia="Arial" w:hAnsi="Arial"/>
          <w:sz w:val="16"/>
          <w:szCs w:val="16"/>
          <w:color w:val="auto"/>
        </w:rPr>
        <w:t>Notwithstanding the foregoing, in the event an Award will terminate if not exercised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9" w:lineRule="exact"/>
        <w:rPr>
          <w:rFonts w:ascii="Arial" w:cs="Arial" w:eastAsia="Arial" w:hAnsi="Arial"/>
          <w:sz w:val="16"/>
          <w:szCs w:val="16"/>
          <w:b w:val="1"/>
          <w:bCs w:val="1"/>
          <w:color w:val="auto"/>
        </w:rPr>
      </w:pPr>
    </w:p>
    <w:p>
      <w:pPr>
        <w:ind w:left="120" w:right="160" w:firstLine="436"/>
        <w:spacing w:after="0" w:line="312" w:lineRule="auto"/>
        <w:tabs>
          <w:tab w:leader="none" w:pos="947"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Appointment of Stockholder Representative. </w:t>
      </w:r>
      <w:r>
        <w:rPr>
          <w:rFonts w:ascii="Arial" w:cs="Arial" w:eastAsia="Arial" w:hAnsi="Arial"/>
          <w:sz w:val="16"/>
          <w:szCs w:val="16"/>
          <w:color w:val="auto"/>
        </w:rPr>
        <w:t>As a condition to the receipt of an Award under this Plan, a Participant will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7" w:lineRule="exact"/>
        <w:rPr>
          <w:rFonts w:ascii="Arial" w:cs="Arial" w:eastAsia="Arial" w:hAnsi="Arial"/>
          <w:sz w:val="16"/>
          <w:szCs w:val="16"/>
          <w:b w:val="1"/>
          <w:bCs w:val="1"/>
          <w:color w:val="auto"/>
        </w:rPr>
      </w:pPr>
    </w:p>
    <w:p>
      <w:pPr>
        <w:ind w:left="120" w:firstLine="436"/>
        <w:spacing w:after="0" w:line="307" w:lineRule="auto"/>
        <w:tabs>
          <w:tab w:leader="none" w:pos="938" w:val="left"/>
        </w:tabs>
        <w:numPr>
          <w:ilvl w:val="1"/>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No Restriction on Right to Undertake Transactions</w:t>
      </w:r>
      <w:r>
        <w:rPr>
          <w:rFonts w:ascii="Arial" w:cs="Arial" w:eastAsia="Arial" w:hAnsi="Arial"/>
          <w:sz w:val="16"/>
          <w:szCs w:val="16"/>
          <w:color w:val="auto"/>
        </w:rPr>
        <w:t>. The grant of any Award under the Plan and the issuance of shares pursuant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rFonts w:ascii="Arial" w:cs="Arial" w:eastAsia="Arial" w:hAnsi="Arial"/>
          <w:sz w:val="16"/>
          <w:szCs w:val="16"/>
          <w:b w:val="1"/>
          <w:bCs w:val="1"/>
          <w:color w:val="auto"/>
        </w:rPr>
      </w:pPr>
    </w:p>
    <w:p>
      <w:pPr>
        <w:spacing w:after="0" w:line="295" w:lineRule="exact"/>
        <w:rPr>
          <w:rFonts w:ascii="Arial" w:cs="Arial" w:eastAsia="Arial" w:hAnsi="Arial"/>
          <w:sz w:val="16"/>
          <w:szCs w:val="16"/>
          <w:b w:val="1"/>
          <w:bCs w:val="1"/>
          <w:color w:val="auto"/>
        </w:rPr>
      </w:pPr>
    </w:p>
    <w:p>
      <w:pPr>
        <w:ind w:left="500" w:hanging="384"/>
        <w:spacing w:after="0"/>
        <w:tabs>
          <w:tab w:leader="none" w:pos="50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DMINISTRATION</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120" w:right="40" w:firstLine="436"/>
        <w:spacing w:after="0" w:line="339" w:lineRule="auto"/>
        <w:tabs>
          <w:tab w:leader="none" w:pos="938"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Administration by Board. </w:t>
      </w:r>
      <w:r>
        <w:rPr>
          <w:rFonts w:ascii="Arial" w:cs="Arial" w:eastAsia="Arial" w:hAnsi="Arial"/>
          <w:sz w:val="16"/>
          <w:szCs w:val="16"/>
          <w:color w:val="auto"/>
        </w:rPr>
        <w:t>The Board will administer the Plan unless and until the Board delegates administration of the Plan to a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or Committees, as provided in subsection (c) below.</w:t>
      </w:r>
    </w:p>
    <w:p>
      <w:pPr>
        <w:spacing w:after="0" w:line="155" w:lineRule="exact"/>
        <w:rPr>
          <w:rFonts w:ascii="Arial" w:cs="Arial" w:eastAsia="Arial" w:hAnsi="Arial"/>
          <w:sz w:val="16"/>
          <w:szCs w:val="16"/>
          <w:b w:val="1"/>
          <w:bCs w:val="1"/>
          <w:color w:val="auto"/>
        </w:rPr>
      </w:pPr>
    </w:p>
    <w:p>
      <w:pPr>
        <w:ind w:left="940" w:hanging="384"/>
        <w:spacing w:after="0"/>
        <w:tabs>
          <w:tab w:leader="none" w:pos="940"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Powers of Board. </w:t>
      </w:r>
      <w:r>
        <w:rPr>
          <w:rFonts w:ascii="Arial" w:cs="Arial" w:eastAsia="Arial" w:hAnsi="Arial"/>
          <w:sz w:val="16"/>
          <w:szCs w:val="16"/>
          <w:color w:val="auto"/>
        </w:rPr>
        <w:t>The Board will have the power, subject to, and within the limitations of, the express provisions of the Plan:</w:t>
      </w:r>
    </w:p>
    <w:p>
      <w:pPr>
        <w:spacing w:after="0" w:line="261" w:lineRule="exact"/>
        <w:rPr>
          <w:rFonts w:ascii="Arial" w:cs="Arial" w:eastAsia="Arial" w:hAnsi="Arial"/>
          <w:sz w:val="16"/>
          <w:szCs w:val="16"/>
          <w:b w:val="1"/>
          <w:bCs w:val="1"/>
          <w:color w:val="auto"/>
        </w:rPr>
      </w:pPr>
    </w:p>
    <w:p>
      <w:pPr>
        <w:ind w:left="120" w:right="220" w:firstLine="877"/>
        <w:spacing w:after="0" w:line="307" w:lineRule="auto"/>
        <w:tabs>
          <w:tab w:leader="none" w:pos="1331" w:val="left"/>
        </w:tabs>
        <w:numPr>
          <w:ilvl w:val="2"/>
          <w:numId w:val="96"/>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80" w:lineRule="exact"/>
        <w:rPr>
          <w:rFonts w:ascii="Arial" w:cs="Arial" w:eastAsia="Arial" w:hAnsi="Arial"/>
          <w:sz w:val="16"/>
          <w:szCs w:val="16"/>
          <w:b w:val="1"/>
          <w:bCs w:val="1"/>
          <w:color w:val="auto"/>
        </w:rPr>
      </w:pPr>
    </w:p>
    <w:p>
      <w:pPr>
        <w:ind w:left="120" w:right="220" w:firstLine="877"/>
        <w:spacing w:after="0" w:line="319" w:lineRule="auto"/>
        <w:tabs>
          <w:tab w:leader="none" w:pos="1376" w:val="left"/>
        </w:tabs>
        <w:numPr>
          <w:ilvl w:val="2"/>
          <w:numId w:val="96"/>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640"/>
        <w:spacing w:after="0"/>
        <w:rPr>
          <w:sz w:val="20"/>
          <w:szCs w:val="20"/>
          <w:color w:val="auto"/>
        </w:rPr>
      </w:pPr>
      <w:r>
        <w:rPr>
          <w:rFonts w:ascii="Arial" w:cs="Arial" w:eastAsia="Arial" w:hAnsi="Arial"/>
          <w:sz w:val="16"/>
          <w:szCs w:val="16"/>
          <w:b w:val="1"/>
          <w:bCs w:val="1"/>
          <w:color w:val="auto"/>
        </w:rPr>
        <w:t>A-9</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420" w:hanging="423"/>
        <w:spacing w:after="0"/>
        <w:tabs>
          <w:tab w:leader="none" w:pos="1420"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To settle all controversies regarding the Plan and Awards granted under it.</w:t>
      </w:r>
    </w:p>
    <w:p>
      <w:pPr>
        <w:spacing w:after="0" w:line="261" w:lineRule="exact"/>
        <w:rPr>
          <w:rFonts w:ascii="Arial" w:cs="Arial" w:eastAsia="Arial" w:hAnsi="Arial"/>
          <w:sz w:val="16"/>
          <w:szCs w:val="16"/>
          <w:b w:val="1"/>
          <w:bCs w:val="1"/>
          <w:color w:val="auto"/>
        </w:rPr>
      </w:pPr>
    </w:p>
    <w:p>
      <w:pPr>
        <w:ind w:left="120" w:right="620" w:firstLine="877"/>
        <w:spacing w:after="0" w:line="339" w:lineRule="auto"/>
        <w:tabs>
          <w:tab w:leader="none" w:pos="1421"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55" w:lineRule="exact"/>
        <w:rPr>
          <w:rFonts w:ascii="Arial" w:cs="Arial" w:eastAsia="Arial" w:hAnsi="Arial"/>
          <w:sz w:val="16"/>
          <w:szCs w:val="16"/>
          <w:b w:val="1"/>
          <w:bCs w:val="1"/>
          <w:color w:val="auto"/>
        </w:rPr>
      </w:pPr>
    </w:p>
    <w:p>
      <w:pPr>
        <w:ind w:left="120" w:right="40" w:firstLine="877"/>
        <w:spacing w:after="0" w:line="312" w:lineRule="auto"/>
        <w:tabs>
          <w:tab w:leader="none" w:pos="1376"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77" w:lineRule="exact"/>
        <w:rPr>
          <w:rFonts w:ascii="Arial" w:cs="Arial" w:eastAsia="Arial" w:hAnsi="Arial"/>
          <w:sz w:val="16"/>
          <w:szCs w:val="16"/>
          <w:b w:val="1"/>
          <w:bCs w:val="1"/>
          <w:color w:val="auto"/>
        </w:rPr>
      </w:pPr>
    </w:p>
    <w:p>
      <w:pPr>
        <w:ind w:left="120" w:right="340" w:firstLine="877"/>
        <w:spacing w:after="0" w:line="339" w:lineRule="auto"/>
        <w:tabs>
          <w:tab w:leader="none" w:pos="1421"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55" w:lineRule="exact"/>
        <w:rPr>
          <w:rFonts w:ascii="Arial" w:cs="Arial" w:eastAsia="Arial" w:hAnsi="Arial"/>
          <w:sz w:val="16"/>
          <w:szCs w:val="16"/>
          <w:b w:val="1"/>
          <w:bCs w:val="1"/>
          <w:color w:val="auto"/>
        </w:rPr>
      </w:pPr>
    </w:p>
    <w:p>
      <w:pPr>
        <w:ind w:left="120" w:right="160" w:firstLine="877"/>
        <w:spacing w:after="0" w:line="299" w:lineRule="auto"/>
        <w:tabs>
          <w:tab w:leader="none" w:pos="1466"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ind w:left="360" w:hanging="244"/>
        <w:spacing w:after="0"/>
        <w:tabs>
          <w:tab w:leader="none" w:pos="3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such Participant consents in writing.</w:t>
      </w:r>
    </w:p>
    <w:p>
      <w:pPr>
        <w:spacing w:after="0" w:line="261" w:lineRule="exact"/>
        <w:rPr>
          <w:rFonts w:ascii="Arial" w:cs="Arial" w:eastAsia="Arial" w:hAnsi="Arial"/>
          <w:sz w:val="16"/>
          <w:szCs w:val="16"/>
          <w:color w:val="auto"/>
        </w:rPr>
      </w:pPr>
    </w:p>
    <w:p>
      <w:pPr>
        <w:ind w:left="1500" w:hanging="503"/>
        <w:spacing w:after="0"/>
        <w:tabs>
          <w:tab w:leader="none" w:pos="1500"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To submit any amendment to the Plan for stockholder approval.</w:t>
      </w:r>
    </w:p>
    <w:p>
      <w:pPr>
        <w:spacing w:after="0" w:line="261" w:lineRule="exact"/>
        <w:rPr>
          <w:rFonts w:ascii="Arial" w:cs="Arial" w:eastAsia="Arial" w:hAnsi="Arial"/>
          <w:sz w:val="16"/>
          <w:szCs w:val="16"/>
          <w:b w:val="1"/>
          <w:bCs w:val="1"/>
          <w:color w:val="auto"/>
        </w:rPr>
      </w:pPr>
    </w:p>
    <w:p>
      <w:pPr>
        <w:ind w:left="120" w:right="60" w:firstLine="877"/>
        <w:spacing w:after="0" w:line="312" w:lineRule="auto"/>
        <w:tabs>
          <w:tab w:leader="none" w:pos="1421"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77" w:lineRule="exact"/>
        <w:rPr>
          <w:rFonts w:ascii="Arial" w:cs="Arial" w:eastAsia="Arial" w:hAnsi="Arial"/>
          <w:sz w:val="16"/>
          <w:szCs w:val="16"/>
          <w:b w:val="1"/>
          <w:bCs w:val="1"/>
          <w:color w:val="auto"/>
        </w:rPr>
      </w:pPr>
    </w:p>
    <w:p>
      <w:pPr>
        <w:ind w:left="120" w:right="100" w:firstLine="877"/>
        <w:spacing w:after="0" w:line="339" w:lineRule="auto"/>
        <w:tabs>
          <w:tab w:leader="none" w:pos="1379"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55" w:lineRule="exact"/>
        <w:rPr>
          <w:rFonts w:ascii="Arial" w:cs="Arial" w:eastAsia="Arial" w:hAnsi="Arial"/>
          <w:sz w:val="16"/>
          <w:szCs w:val="16"/>
          <w:b w:val="1"/>
          <w:bCs w:val="1"/>
          <w:color w:val="auto"/>
        </w:rPr>
      </w:pPr>
    </w:p>
    <w:p>
      <w:pPr>
        <w:ind w:left="120" w:right="40" w:firstLine="877"/>
        <w:spacing w:after="0" w:line="312" w:lineRule="auto"/>
        <w:tabs>
          <w:tab w:leader="none" w:pos="1421"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77" w:lineRule="exact"/>
        <w:rPr>
          <w:rFonts w:ascii="Arial" w:cs="Arial" w:eastAsia="Arial" w:hAnsi="Arial"/>
          <w:sz w:val="16"/>
          <w:szCs w:val="16"/>
          <w:b w:val="1"/>
          <w:bCs w:val="1"/>
          <w:color w:val="auto"/>
        </w:rPr>
      </w:pPr>
    </w:p>
    <w:p>
      <w:pPr>
        <w:ind w:left="120" w:firstLine="877"/>
        <w:spacing w:after="0" w:line="309" w:lineRule="auto"/>
        <w:tabs>
          <w:tab w:leader="none" w:pos="1466"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7029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A-10</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940" w:hanging="384"/>
        <w:spacing w:after="0"/>
        <w:tabs>
          <w:tab w:leader="none" w:pos="940"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 to Committee.</w:t>
      </w:r>
    </w:p>
    <w:p>
      <w:pPr>
        <w:spacing w:after="0" w:line="261" w:lineRule="exact"/>
        <w:rPr>
          <w:rFonts w:ascii="Arial" w:cs="Arial" w:eastAsia="Arial" w:hAnsi="Arial"/>
          <w:sz w:val="16"/>
          <w:szCs w:val="16"/>
          <w:b w:val="1"/>
          <w:bCs w:val="1"/>
          <w:color w:val="auto"/>
        </w:rPr>
      </w:pPr>
    </w:p>
    <w:p>
      <w:pPr>
        <w:ind w:left="120" w:firstLine="877"/>
        <w:spacing w:after="0" w:line="305" w:lineRule="auto"/>
        <w:tabs>
          <w:tab w:leader="none" w:pos="1334" w:val="left"/>
        </w:tabs>
        <w:numPr>
          <w:ilvl w:val="2"/>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1" w:lineRule="exact"/>
        <w:rPr>
          <w:rFonts w:ascii="Arial" w:cs="Arial" w:eastAsia="Arial" w:hAnsi="Arial"/>
          <w:sz w:val="16"/>
          <w:szCs w:val="16"/>
          <w:b w:val="1"/>
          <w:bCs w:val="1"/>
          <w:color w:val="auto"/>
        </w:rPr>
      </w:pPr>
    </w:p>
    <w:p>
      <w:pPr>
        <w:ind w:left="120" w:firstLine="877"/>
        <w:spacing w:after="0" w:line="312" w:lineRule="auto"/>
        <w:tabs>
          <w:tab w:leader="none" w:pos="1379" w:val="left"/>
        </w:tabs>
        <w:numPr>
          <w:ilvl w:val="2"/>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7" w:lineRule="exact"/>
        <w:rPr>
          <w:rFonts w:ascii="Arial" w:cs="Arial" w:eastAsia="Arial" w:hAnsi="Arial"/>
          <w:sz w:val="16"/>
          <w:szCs w:val="16"/>
          <w:b w:val="1"/>
          <w:bCs w:val="1"/>
          <w:color w:val="auto"/>
        </w:rPr>
      </w:pPr>
    </w:p>
    <w:p>
      <w:pPr>
        <w:ind w:left="120" w:right="100" w:firstLine="436"/>
        <w:spacing w:after="0" w:line="339" w:lineRule="auto"/>
        <w:tabs>
          <w:tab w:leader="none" w:pos="938"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Board’s Decision. </w:t>
      </w:r>
      <w:r>
        <w:rPr>
          <w:rFonts w:ascii="Arial" w:cs="Arial" w:eastAsia="Arial" w:hAnsi="Arial"/>
          <w:sz w:val="16"/>
          <w:szCs w:val="16"/>
          <w:color w:val="auto"/>
        </w:rPr>
        <w:t>All determinations, interpretations and constructions made by the Board or any Committee in good faith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subject to review by any person and will be final, binding and conclusive on all persons.</w:t>
      </w:r>
    </w:p>
    <w:p>
      <w:pPr>
        <w:spacing w:after="0" w:line="155" w:lineRule="exact"/>
        <w:rPr>
          <w:rFonts w:ascii="Arial" w:cs="Arial" w:eastAsia="Arial" w:hAnsi="Arial"/>
          <w:sz w:val="16"/>
          <w:szCs w:val="16"/>
          <w:b w:val="1"/>
          <w:bCs w:val="1"/>
          <w:color w:val="auto"/>
        </w:rPr>
      </w:pPr>
    </w:p>
    <w:p>
      <w:pPr>
        <w:ind w:left="940" w:hanging="384"/>
        <w:spacing w:after="0"/>
        <w:tabs>
          <w:tab w:leader="none" w:pos="940"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45" w:lineRule="exact"/>
        <w:rPr>
          <w:rFonts w:ascii="Arial" w:cs="Arial" w:eastAsia="Arial" w:hAnsi="Arial"/>
          <w:sz w:val="16"/>
          <w:szCs w:val="16"/>
          <w:b w:val="1"/>
          <w:bCs w:val="1"/>
          <w:color w:val="auto"/>
        </w:rPr>
      </w:pPr>
    </w:p>
    <w:p>
      <w:pPr>
        <w:ind w:left="120" w:right="40" w:hanging="4"/>
        <w:spacing w:after="0" w:line="305" w:lineRule="auto"/>
        <w:tabs>
          <w:tab w:leader="none" w:pos="30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66" w:lineRule="exact"/>
        <w:rPr>
          <w:sz w:val="20"/>
          <w:szCs w:val="20"/>
          <w:color w:val="auto"/>
        </w:rPr>
      </w:pPr>
    </w:p>
    <w:p>
      <w:pPr>
        <w:ind w:left="500" w:hanging="384"/>
        <w:spacing w:after="0"/>
        <w:tabs>
          <w:tab w:leader="none" w:pos="50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AX</w:t>
      </w:r>
      <w:r>
        <w:rPr>
          <w:rFonts w:ascii="Arial" w:cs="Arial" w:eastAsia="Arial" w:hAnsi="Arial"/>
          <w:sz w:val="20"/>
          <w:szCs w:val="20"/>
          <w:b w:val="1"/>
          <w:bCs w:val="1"/>
          <w:color w:val="auto"/>
        </w:rPr>
        <w:t xml:space="preserve"> W</w:t>
      </w:r>
      <w:r>
        <w:rPr>
          <w:rFonts w:ascii="Arial" w:cs="Arial" w:eastAsia="Arial" w:hAnsi="Arial"/>
          <w:sz w:val="16"/>
          <w:szCs w:val="16"/>
          <w:b w:val="1"/>
          <w:bCs w:val="1"/>
          <w:color w:val="auto"/>
        </w:rPr>
        <w:t>ITHHOLDING</w:t>
      </w:r>
    </w:p>
    <w:p>
      <w:pPr>
        <w:spacing w:after="0" w:line="225" w:lineRule="exact"/>
        <w:rPr>
          <w:rFonts w:ascii="Arial" w:cs="Arial" w:eastAsia="Arial" w:hAnsi="Arial"/>
          <w:sz w:val="20"/>
          <w:szCs w:val="20"/>
          <w:b w:val="1"/>
          <w:bCs w:val="1"/>
          <w:color w:val="auto"/>
        </w:rPr>
      </w:pPr>
    </w:p>
    <w:p>
      <w:pPr>
        <w:ind w:left="120" w:right="20" w:firstLine="436"/>
        <w:spacing w:after="0" w:line="307" w:lineRule="auto"/>
        <w:tabs>
          <w:tab w:leader="none" w:pos="938" w:val="left"/>
        </w:tabs>
        <w:numPr>
          <w:ilvl w:val="1"/>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Authorization. </w:t>
      </w:r>
      <w:r>
        <w:rPr>
          <w:rFonts w:ascii="Arial" w:cs="Arial" w:eastAsia="Arial" w:hAnsi="Arial"/>
          <w:sz w:val="16"/>
          <w:szCs w:val="16"/>
          <w:color w:val="auto"/>
        </w:rPr>
        <w:t>As a condition to acceptance of any Award under the Plan, a Participant authorizes withholding from payroll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0" w:lineRule="exact"/>
        <w:rPr>
          <w:rFonts w:ascii="Arial" w:cs="Arial" w:eastAsia="Arial" w:hAnsi="Arial"/>
          <w:sz w:val="16"/>
          <w:szCs w:val="16"/>
          <w:b w:val="1"/>
          <w:bCs w:val="1"/>
          <w:color w:val="auto"/>
        </w:rPr>
      </w:pPr>
    </w:p>
    <w:p>
      <w:pPr>
        <w:ind w:left="120" w:right="600" w:firstLine="436"/>
        <w:spacing w:after="0" w:line="339" w:lineRule="auto"/>
        <w:tabs>
          <w:tab w:leader="none" w:pos="947" w:val="left"/>
        </w:tabs>
        <w:numPr>
          <w:ilvl w:val="1"/>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Satisfaction of Withholding Obligation. </w:t>
      </w:r>
      <w:r>
        <w:rPr>
          <w:rFonts w:ascii="Arial" w:cs="Arial" w:eastAsia="Arial" w:hAnsi="Arial"/>
          <w:sz w:val="16"/>
          <w:szCs w:val="16"/>
          <w:color w:val="auto"/>
        </w:rPr>
        <w:t>To the extent permitted by the terms of an Award Agreement, the Company may,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satisfy any U.S. federal, state, local and/or foreign tax or social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A-11</w:t>
      </w:r>
    </w:p>
    <w:p>
      <w:pPr>
        <w:sectPr>
          <w:pgSz w:w="11900" w:h="16838" w:orient="portrait"/>
          <w:cols w:equalWidth="0" w:num="1">
            <w:col w:w="11060"/>
          </w:cols>
          <w:pgMar w:left="320" w:top="455" w:right="5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309" w:lineRule="auto"/>
        <w:rPr>
          <w:sz w:val="20"/>
          <w:szCs w:val="20"/>
          <w:color w:val="auto"/>
        </w:rPr>
      </w:pPr>
      <w:r>
        <w:rPr>
          <w:rFonts w:ascii="Arial" w:cs="Arial" w:eastAsia="Arial" w:hAnsi="Arial"/>
          <w:sz w:val="16"/>
          <w:szCs w:val="16"/>
          <w:color w:val="auto"/>
        </w:rPr>
        <w:t>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9" w:lineRule="exact"/>
        <w:rPr>
          <w:sz w:val="20"/>
          <w:szCs w:val="20"/>
          <w:color w:val="auto"/>
        </w:rPr>
      </w:pPr>
    </w:p>
    <w:p>
      <w:pPr>
        <w:ind w:left="120" w:right="20" w:firstLine="436"/>
        <w:spacing w:after="0" w:line="302" w:lineRule="auto"/>
        <w:tabs>
          <w:tab w:leader="none" w:pos="938"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their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87" w:lineRule="exact"/>
        <w:rPr>
          <w:rFonts w:ascii="Arial" w:cs="Arial" w:eastAsia="Arial" w:hAnsi="Arial"/>
          <w:sz w:val="16"/>
          <w:szCs w:val="16"/>
          <w:b w:val="1"/>
          <w:bCs w:val="1"/>
          <w:color w:val="auto"/>
        </w:rPr>
      </w:pPr>
    </w:p>
    <w:p>
      <w:pPr>
        <w:ind w:left="120" w:right="60" w:firstLine="436"/>
        <w:spacing w:after="0" w:line="312" w:lineRule="auto"/>
        <w:tabs>
          <w:tab w:leader="none" w:pos="947" w:val="left"/>
        </w:tabs>
        <w:numPr>
          <w:ilvl w:val="1"/>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Indemnification. </w:t>
      </w:r>
      <w:r>
        <w:rPr>
          <w:rFonts w:ascii="Arial" w:cs="Arial" w:eastAsia="Arial" w:hAnsi="Arial"/>
          <w:sz w:val="16"/>
          <w:szCs w:val="16"/>
          <w:color w:val="auto"/>
        </w:rPr>
        <w:t>As a condition to accepting an Award under the Plan, in the event that the amount of the Company’s and/or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62" w:lineRule="exact"/>
        <w:rPr>
          <w:rFonts w:ascii="Arial" w:cs="Arial" w:eastAsia="Arial" w:hAnsi="Arial"/>
          <w:sz w:val="16"/>
          <w:szCs w:val="16"/>
          <w:b w:val="1"/>
          <w:bCs w:val="1"/>
          <w:color w:val="auto"/>
        </w:rPr>
      </w:pPr>
    </w:p>
    <w:p>
      <w:pPr>
        <w:ind w:left="500" w:hanging="384"/>
        <w:spacing w:after="0"/>
        <w:tabs>
          <w:tab w:leader="none" w:pos="50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6"/>
          <w:szCs w:val="16"/>
          <w:b w:val="1"/>
          <w:bCs w:val="1"/>
          <w:color w:val="auto"/>
        </w:rPr>
        <w:t>ISCELLANEOUS</w:t>
      </w:r>
      <w:r>
        <w:rPr>
          <w:rFonts w:ascii="Arial" w:cs="Arial" w:eastAsia="Arial" w:hAnsi="Arial"/>
          <w:sz w:val="20"/>
          <w:szCs w:val="20"/>
          <w:b w:val="1"/>
          <w:bCs w:val="1"/>
          <w:color w:val="auto"/>
        </w:rPr>
        <w:t>.</w:t>
      </w:r>
    </w:p>
    <w:p>
      <w:pPr>
        <w:spacing w:after="0" w:line="225" w:lineRule="exact"/>
        <w:rPr>
          <w:rFonts w:ascii="Arial" w:cs="Arial" w:eastAsia="Arial" w:hAnsi="Arial"/>
          <w:sz w:val="20"/>
          <w:szCs w:val="20"/>
          <w:b w:val="1"/>
          <w:bCs w:val="1"/>
          <w:color w:val="auto"/>
        </w:rPr>
      </w:pPr>
    </w:p>
    <w:p>
      <w:pPr>
        <w:ind w:left="120" w:right="500" w:firstLine="436"/>
        <w:spacing w:after="0" w:line="339" w:lineRule="auto"/>
        <w:tabs>
          <w:tab w:leader="none" w:pos="938" w:val="left"/>
        </w:tabs>
        <w:numPr>
          <w:ilvl w:val="1"/>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Source of Shares. </w:t>
      </w:r>
      <w:r>
        <w:rPr>
          <w:rFonts w:ascii="Arial" w:cs="Arial" w:eastAsia="Arial" w:hAnsi="Arial"/>
          <w:sz w:val="16"/>
          <w:szCs w:val="16"/>
          <w:color w:val="auto"/>
        </w:rPr>
        <w:t>The stock issuable under the Plan will be shares of authorized but unissued or reacquired Common Stock,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repurchased by the Company on the open market or otherwise.</w:t>
      </w:r>
    </w:p>
    <w:p>
      <w:pPr>
        <w:spacing w:after="0" w:line="155" w:lineRule="exact"/>
        <w:rPr>
          <w:rFonts w:ascii="Arial" w:cs="Arial" w:eastAsia="Arial" w:hAnsi="Arial"/>
          <w:sz w:val="16"/>
          <w:szCs w:val="16"/>
          <w:b w:val="1"/>
          <w:bCs w:val="1"/>
          <w:color w:val="auto"/>
        </w:rPr>
      </w:pPr>
    </w:p>
    <w:p>
      <w:pPr>
        <w:ind w:left="120" w:right="380" w:firstLine="436"/>
        <w:spacing w:after="0" w:line="339" w:lineRule="auto"/>
        <w:tabs>
          <w:tab w:leader="none" w:pos="947" w:val="left"/>
        </w:tabs>
        <w:numPr>
          <w:ilvl w:val="1"/>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from Sales of Common Stock. </w:t>
      </w:r>
      <w:r>
        <w:rPr>
          <w:rFonts w:ascii="Arial" w:cs="Arial" w:eastAsia="Arial" w:hAnsi="Arial"/>
          <w:sz w:val="16"/>
          <w:szCs w:val="16"/>
          <w:color w:val="auto"/>
        </w:rPr>
        <w:t>Proceeds from the sale of shares of Common Stock pursuant to Awards will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funds of the Company.</w:t>
      </w:r>
    </w:p>
    <w:p>
      <w:pPr>
        <w:spacing w:after="0" w:line="155" w:lineRule="exact"/>
        <w:rPr>
          <w:rFonts w:ascii="Arial" w:cs="Arial" w:eastAsia="Arial" w:hAnsi="Arial"/>
          <w:sz w:val="16"/>
          <w:szCs w:val="16"/>
          <w:b w:val="1"/>
          <w:bCs w:val="1"/>
          <w:color w:val="auto"/>
        </w:rPr>
      </w:pPr>
    </w:p>
    <w:p>
      <w:pPr>
        <w:ind w:left="120" w:firstLine="436"/>
        <w:spacing w:after="0" w:line="306" w:lineRule="auto"/>
        <w:tabs>
          <w:tab w:leader="none" w:pos="938" w:val="left"/>
        </w:tabs>
        <w:numPr>
          <w:ilvl w:val="1"/>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Awards. </w:t>
      </w:r>
      <w:r>
        <w:rPr>
          <w:rFonts w:ascii="Arial" w:cs="Arial" w:eastAsia="Arial" w:hAnsi="Arial"/>
          <w:sz w:val="16"/>
          <w:szCs w:val="16"/>
          <w:color w:val="auto"/>
        </w:rPr>
        <w:t>Corporate action constituting a grant by the Company of an Award to any Participant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A-12</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60" w:firstLine="436"/>
        <w:spacing w:after="0" w:line="319" w:lineRule="auto"/>
        <w:tabs>
          <w:tab w:leader="none" w:pos="947"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70" w:lineRule="exact"/>
        <w:rPr>
          <w:rFonts w:ascii="Arial" w:cs="Arial" w:eastAsia="Arial" w:hAnsi="Arial"/>
          <w:sz w:val="16"/>
          <w:szCs w:val="16"/>
          <w:b w:val="1"/>
          <w:bCs w:val="1"/>
          <w:color w:val="auto"/>
        </w:rPr>
      </w:pPr>
    </w:p>
    <w:p>
      <w:pPr>
        <w:ind w:left="120" w:right="180" w:firstLine="436"/>
        <w:spacing w:after="0" w:line="303" w:lineRule="auto"/>
        <w:tabs>
          <w:tab w:leader="none" w:pos="938"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Award Agreement or any other instrument executed thereunder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8" w:lineRule="exact"/>
        <w:rPr>
          <w:rFonts w:ascii="Arial" w:cs="Arial" w:eastAsia="Arial" w:hAnsi="Arial"/>
          <w:sz w:val="16"/>
          <w:szCs w:val="16"/>
          <w:b w:val="1"/>
          <w:bCs w:val="1"/>
          <w:color w:val="auto"/>
        </w:rPr>
      </w:pPr>
    </w:p>
    <w:p>
      <w:pPr>
        <w:ind w:left="120" w:right="100" w:firstLine="436"/>
        <w:spacing w:after="0" w:line="306" w:lineRule="auto"/>
        <w:tabs>
          <w:tab w:leader="none" w:pos="902"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their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0" w:lineRule="exact"/>
        <w:rPr>
          <w:rFonts w:ascii="Arial" w:cs="Arial" w:eastAsia="Arial" w:hAnsi="Arial"/>
          <w:sz w:val="16"/>
          <w:szCs w:val="16"/>
          <w:b w:val="1"/>
          <w:bCs w:val="1"/>
          <w:color w:val="auto"/>
        </w:rPr>
      </w:pPr>
    </w:p>
    <w:p>
      <w:pPr>
        <w:ind w:left="120" w:right="80" w:firstLine="436"/>
        <w:spacing w:after="0" w:line="319" w:lineRule="auto"/>
        <w:tabs>
          <w:tab w:leader="none" w:pos="947"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70" w:lineRule="exact"/>
        <w:rPr>
          <w:rFonts w:ascii="Arial" w:cs="Arial" w:eastAsia="Arial" w:hAnsi="Arial"/>
          <w:sz w:val="16"/>
          <w:szCs w:val="16"/>
          <w:b w:val="1"/>
          <w:bCs w:val="1"/>
          <w:color w:val="auto"/>
        </w:rPr>
      </w:pPr>
    </w:p>
    <w:p>
      <w:pPr>
        <w:ind w:left="120" w:firstLine="436"/>
        <w:spacing w:after="0" w:line="307" w:lineRule="auto"/>
        <w:tabs>
          <w:tab w:leader="none" w:pos="947"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and Participation. </w:t>
      </w:r>
      <w:r>
        <w:rPr>
          <w:rFonts w:ascii="Arial" w:cs="Arial" w:eastAsia="Arial" w:hAnsi="Arial"/>
          <w:sz w:val="16"/>
          <w:szCs w:val="16"/>
          <w:color w:val="auto"/>
        </w:rPr>
        <w:t>Any reference herein or in an Award Agreement to a “written” agreement or document will include any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0" w:lineRule="exact"/>
        <w:rPr>
          <w:rFonts w:ascii="Arial" w:cs="Arial" w:eastAsia="Arial" w:hAnsi="Arial"/>
          <w:sz w:val="16"/>
          <w:szCs w:val="16"/>
          <w:b w:val="1"/>
          <w:bCs w:val="1"/>
          <w:color w:val="auto"/>
        </w:rPr>
      </w:pPr>
    </w:p>
    <w:p>
      <w:pPr>
        <w:ind w:left="120" w:right="100" w:firstLine="436"/>
        <w:spacing w:after="0" w:line="312" w:lineRule="auto"/>
        <w:tabs>
          <w:tab w:leader="none" w:pos="89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7029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A-13</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309" w:lineRule="auto"/>
        <w:rPr>
          <w:sz w:val="20"/>
          <w:szCs w:val="20"/>
          <w:color w:val="auto"/>
        </w:rPr>
      </w:pPr>
      <w:r>
        <w:rPr>
          <w:rFonts w:ascii="Arial" w:cs="Arial" w:eastAsia="Arial" w:hAnsi="Arial"/>
          <w:sz w:val="16"/>
          <w:szCs w:val="16"/>
          <w:color w:val="auto"/>
        </w:rPr>
        <w:t>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79" w:lineRule="exact"/>
        <w:rPr>
          <w:sz w:val="20"/>
          <w:szCs w:val="20"/>
          <w:color w:val="auto"/>
        </w:rPr>
      </w:pPr>
    </w:p>
    <w:p>
      <w:pPr>
        <w:ind w:left="120" w:firstLine="436"/>
        <w:spacing w:after="0" w:line="312" w:lineRule="auto"/>
        <w:tabs>
          <w:tab w:leader="none" w:pos="89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A Participant will not be issued any shares in respect of an Award unless either (i) the shares are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7" w:lineRule="exact"/>
        <w:rPr>
          <w:rFonts w:ascii="Arial" w:cs="Arial" w:eastAsia="Arial" w:hAnsi="Arial"/>
          <w:sz w:val="16"/>
          <w:szCs w:val="16"/>
          <w:b w:val="1"/>
          <w:bCs w:val="1"/>
          <w:color w:val="auto"/>
        </w:rPr>
      </w:pPr>
    </w:p>
    <w:p>
      <w:pPr>
        <w:ind w:left="120" w:right="240" w:firstLine="436"/>
        <w:spacing w:after="0" w:line="309" w:lineRule="auto"/>
        <w:tabs>
          <w:tab w:leader="none" w:pos="938"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or Assignment of Awards; Issued Shares. </w:t>
      </w:r>
      <w:r>
        <w:rPr>
          <w:rFonts w:ascii="Arial" w:cs="Arial" w:eastAsia="Arial" w:hAnsi="Arial"/>
          <w:sz w:val="16"/>
          <w:szCs w:val="16"/>
          <w:color w:val="auto"/>
        </w:rPr>
        <w:t>Except as expressly provided in the Plan or the form of Award Agreement, Awards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9" w:lineRule="exact"/>
        <w:rPr>
          <w:rFonts w:ascii="Arial" w:cs="Arial" w:eastAsia="Arial" w:hAnsi="Arial"/>
          <w:sz w:val="16"/>
          <w:szCs w:val="16"/>
          <w:b w:val="1"/>
          <w:bCs w:val="1"/>
          <w:color w:val="auto"/>
        </w:rPr>
      </w:pPr>
    </w:p>
    <w:p>
      <w:pPr>
        <w:ind w:left="120" w:right="100" w:firstLine="436"/>
        <w:spacing w:after="0" w:line="312" w:lineRule="auto"/>
        <w:tabs>
          <w:tab w:leader="none" w:pos="89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on Other Employee Benefit Plans. </w:t>
      </w:r>
      <w:r>
        <w:rPr>
          <w:rFonts w:ascii="Arial" w:cs="Arial" w:eastAsia="Arial" w:hAnsi="Arial"/>
          <w:sz w:val="16"/>
          <w:szCs w:val="16"/>
          <w:color w:val="auto"/>
        </w:rPr>
        <w:t>The value of any Award granted under the Plan, as determined upon grant, vesting or settlement,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7" w:lineRule="exact"/>
        <w:rPr>
          <w:rFonts w:ascii="Arial" w:cs="Arial" w:eastAsia="Arial" w:hAnsi="Arial"/>
          <w:sz w:val="16"/>
          <w:szCs w:val="16"/>
          <w:b w:val="1"/>
          <w:bCs w:val="1"/>
          <w:color w:val="auto"/>
        </w:rPr>
      </w:pPr>
    </w:p>
    <w:p>
      <w:pPr>
        <w:ind w:left="120" w:right="180" w:firstLine="436"/>
        <w:spacing w:after="0" w:line="319" w:lineRule="auto"/>
        <w:tabs>
          <w:tab w:leader="none" w:pos="992"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70" w:lineRule="exact"/>
        <w:rPr>
          <w:rFonts w:ascii="Arial" w:cs="Arial" w:eastAsia="Arial" w:hAnsi="Arial"/>
          <w:sz w:val="16"/>
          <w:szCs w:val="16"/>
          <w:b w:val="1"/>
          <w:bCs w:val="1"/>
          <w:color w:val="auto"/>
        </w:rPr>
      </w:pPr>
    </w:p>
    <w:p>
      <w:pPr>
        <w:ind w:left="120" w:right="140" w:firstLine="436"/>
        <w:spacing w:after="0" w:line="303" w:lineRule="auto"/>
        <w:tabs>
          <w:tab w:leader="none" w:pos="94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2" w:lineRule="exact"/>
        <w:rPr>
          <w:rFonts w:ascii="Arial" w:cs="Arial" w:eastAsia="Arial" w:hAnsi="Arial"/>
          <w:sz w:val="16"/>
          <w:szCs w:val="16"/>
          <w:b w:val="1"/>
          <w:bCs w:val="1"/>
          <w:color w:val="auto"/>
        </w:rPr>
      </w:pPr>
    </w:p>
    <w:p>
      <w:pPr>
        <w:jc w:val="both"/>
        <w:ind w:left="120" w:right="140" w:firstLine="436"/>
        <w:spacing w:after="0" w:line="319" w:lineRule="auto"/>
        <w:tabs>
          <w:tab w:leader="none" w:pos="94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Choice of Law. </w:t>
      </w:r>
      <w:r>
        <w:rPr>
          <w:rFonts w:ascii="Arial" w:cs="Arial" w:eastAsia="Arial" w:hAnsi="Arial"/>
          <w:sz w:val="16"/>
          <w:szCs w:val="16"/>
          <w:color w:val="auto"/>
        </w:rPr>
        <w:t>This Plan and any controversy arising out of or relating to this Plan shall be governed by, and construed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internal laws of the State of Delaware, without regard to conflict of law principles that would result in any application of any law other than the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A-14</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620" w:hanging="504"/>
        <w:spacing w:after="0"/>
        <w:tabs>
          <w:tab w:leader="none" w:pos="62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C</w:t>
      </w:r>
      <w:r>
        <w:rPr>
          <w:rFonts w:ascii="Arial" w:cs="Arial" w:eastAsia="Arial" w:hAnsi="Arial"/>
          <w:sz w:val="16"/>
          <w:szCs w:val="16"/>
          <w:b w:val="1"/>
          <w:bCs w:val="1"/>
          <w:color w:val="auto"/>
        </w:rPr>
        <w:t>OVENANTS OF THE</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OMPANY</w:t>
      </w:r>
      <w:r>
        <w:rPr>
          <w:rFonts w:ascii="Arial" w:cs="Arial" w:eastAsia="Arial" w:hAnsi="Arial"/>
          <w:sz w:val="20"/>
          <w:szCs w:val="20"/>
          <w:b w:val="1"/>
          <w:bCs w:val="1"/>
          <w:color w:val="auto"/>
        </w:rPr>
        <w:t>.</w:t>
      </w:r>
    </w:p>
    <w:p>
      <w:pPr>
        <w:spacing w:after="0" w:line="225" w:lineRule="exact"/>
        <w:rPr>
          <w:sz w:val="20"/>
          <w:szCs w:val="20"/>
          <w:color w:val="auto"/>
        </w:rPr>
      </w:pPr>
    </w:p>
    <w:p>
      <w:pPr>
        <w:ind w:left="120" w:right="20" w:firstLine="440"/>
        <w:spacing w:after="0" w:line="305" w:lineRule="auto"/>
        <w:rPr>
          <w:sz w:val="20"/>
          <w:szCs w:val="20"/>
          <w:color w:val="auto"/>
        </w:rPr>
      </w:pPr>
      <w:r>
        <w:rPr>
          <w:rFonts w:ascii="Arial" w:cs="Arial" w:eastAsia="Arial" w:hAnsi="Arial"/>
          <w:sz w:val="16"/>
          <w:szCs w:val="16"/>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66" w:lineRule="exact"/>
        <w:rPr>
          <w:sz w:val="20"/>
          <w:szCs w:val="20"/>
          <w:color w:val="auto"/>
        </w:rPr>
      </w:pPr>
    </w:p>
    <w:p>
      <w:pPr>
        <w:ind w:left="600" w:hanging="484"/>
        <w:spacing w:after="0"/>
        <w:tabs>
          <w:tab w:leader="none" w:pos="60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DDITIONAL</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ULES FOR</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WARDS</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UBJECT TO</w:t>
      </w:r>
      <w:r>
        <w:rPr>
          <w:rFonts w:ascii="Arial" w:cs="Arial" w:eastAsia="Arial" w:hAnsi="Arial"/>
          <w:sz w:val="20"/>
          <w:szCs w:val="20"/>
          <w:b w:val="1"/>
          <w:bCs w:val="1"/>
          <w:color w:val="auto"/>
        </w:rPr>
        <w:t xml:space="preserve"> S</w:t>
      </w:r>
      <w:r>
        <w:rPr>
          <w:rFonts w:ascii="Arial" w:cs="Arial" w:eastAsia="Arial" w:hAnsi="Arial"/>
          <w:sz w:val="16"/>
          <w:szCs w:val="16"/>
          <w:b w:val="1"/>
          <w:bCs w:val="1"/>
          <w:color w:val="auto"/>
        </w:rPr>
        <w:t>ECTION</w:t>
      </w:r>
      <w:r>
        <w:rPr>
          <w:rFonts w:ascii="Arial" w:cs="Arial" w:eastAsia="Arial" w:hAnsi="Arial"/>
          <w:sz w:val="20"/>
          <w:szCs w:val="20"/>
          <w:b w:val="1"/>
          <w:bCs w:val="1"/>
          <w:color w:val="auto"/>
        </w:rPr>
        <w:t xml:space="preserve"> 409A.</w:t>
      </w:r>
    </w:p>
    <w:p>
      <w:pPr>
        <w:spacing w:after="0" w:line="225" w:lineRule="exact"/>
        <w:rPr>
          <w:rFonts w:ascii="Arial" w:cs="Arial" w:eastAsia="Arial" w:hAnsi="Arial"/>
          <w:sz w:val="20"/>
          <w:szCs w:val="20"/>
          <w:b w:val="1"/>
          <w:bCs w:val="1"/>
          <w:color w:val="auto"/>
        </w:rPr>
      </w:pPr>
    </w:p>
    <w:p>
      <w:pPr>
        <w:ind w:left="120" w:right="260" w:firstLine="436"/>
        <w:spacing w:after="0" w:line="339" w:lineRule="auto"/>
        <w:tabs>
          <w:tab w:leader="none" w:pos="938"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Section shall apply and shall supersede anything to the contrary set forth in the Award Agreement for a Non-Exempt Award.</w:t>
      </w:r>
    </w:p>
    <w:p>
      <w:pPr>
        <w:spacing w:after="0" w:line="155" w:lineRule="exact"/>
        <w:rPr>
          <w:rFonts w:ascii="Arial" w:cs="Arial" w:eastAsia="Arial" w:hAnsi="Arial"/>
          <w:sz w:val="16"/>
          <w:szCs w:val="16"/>
          <w:b w:val="1"/>
          <w:bCs w:val="1"/>
          <w:color w:val="auto"/>
        </w:rPr>
      </w:pPr>
    </w:p>
    <w:p>
      <w:pPr>
        <w:ind w:left="120" w:right="260" w:firstLine="436"/>
        <w:spacing w:after="0" w:line="339" w:lineRule="auto"/>
        <w:tabs>
          <w:tab w:leader="none" w:pos="947"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Awards Subject to Non-Exempt Severance Arrangements. </w:t>
      </w:r>
      <w:r>
        <w:rPr>
          <w:rFonts w:ascii="Arial" w:cs="Arial" w:eastAsia="Arial" w:hAnsi="Arial"/>
          <w:sz w:val="16"/>
          <w:szCs w:val="16"/>
          <w:color w:val="auto"/>
        </w:rPr>
        <w:t>To the extent a Non-Exempt Award is subject to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due to application of a Non-Exempt Severance Arrangement, the following provisions of this subsection (b) apply.</w:t>
      </w:r>
    </w:p>
    <w:p>
      <w:pPr>
        <w:spacing w:after="0" w:line="155" w:lineRule="exact"/>
        <w:rPr>
          <w:rFonts w:ascii="Arial" w:cs="Arial" w:eastAsia="Arial" w:hAnsi="Arial"/>
          <w:sz w:val="16"/>
          <w:szCs w:val="16"/>
          <w:b w:val="1"/>
          <w:bCs w:val="1"/>
          <w:color w:val="auto"/>
        </w:rPr>
      </w:pPr>
    </w:p>
    <w:p>
      <w:pPr>
        <w:ind w:left="120" w:right="80" w:firstLine="877"/>
        <w:spacing w:after="0" w:line="263" w:lineRule="auto"/>
        <w:tabs>
          <w:tab w:leader="none" w:pos="1334" w:val="left"/>
        </w:tabs>
        <w:numPr>
          <w:ilvl w:val="2"/>
          <w:numId w:val="107"/>
        </w:numPr>
        <w:rPr>
          <w:rFonts w:ascii="Arial" w:cs="Arial" w:eastAsia="Arial" w:hAnsi="Arial"/>
          <w:sz w:val="16"/>
          <w:szCs w:val="16"/>
          <w:b w:val="1"/>
          <w:bCs w:val="1"/>
          <w:color w:val="auto"/>
        </w:rPr>
      </w:pPr>
      <w:r>
        <w:rPr>
          <w:rFonts w:ascii="Arial" w:cs="Arial" w:eastAsia="Arial" w:hAnsi="Arial"/>
          <w:sz w:val="16"/>
          <w:szCs w:val="16"/>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calendar year that includes the applicable vesting date, or (ii)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that follows the applicable vesting date.</w:t>
      </w:r>
    </w:p>
    <w:p>
      <w:pPr>
        <w:spacing w:after="0" w:line="50" w:lineRule="exact"/>
        <w:rPr>
          <w:rFonts w:ascii="Arial" w:cs="Arial" w:eastAsia="Arial" w:hAnsi="Arial"/>
          <w:sz w:val="16"/>
          <w:szCs w:val="16"/>
          <w:b w:val="1"/>
          <w:bCs w:val="1"/>
          <w:color w:val="auto"/>
        </w:rPr>
      </w:pPr>
    </w:p>
    <w:p>
      <w:pPr>
        <w:ind w:left="120" w:right="200" w:firstLine="877"/>
        <w:spacing w:after="0" w:line="268" w:lineRule="auto"/>
        <w:tabs>
          <w:tab w:leader="none" w:pos="1379" w:val="left"/>
        </w:tabs>
        <w:numPr>
          <w:ilvl w:val="2"/>
          <w:numId w:val="107"/>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3" w:lineRule="exact"/>
        <w:rPr>
          <w:rFonts w:ascii="Arial" w:cs="Arial" w:eastAsia="Arial" w:hAnsi="Arial"/>
          <w:sz w:val="16"/>
          <w:szCs w:val="16"/>
          <w:b w:val="1"/>
          <w:bCs w:val="1"/>
          <w:color w:val="auto"/>
        </w:rPr>
      </w:pPr>
    </w:p>
    <w:p>
      <w:pPr>
        <w:ind w:left="120"/>
        <w:spacing w:after="0" w:line="339" w:lineRule="auto"/>
        <w:rPr>
          <w:rFonts w:ascii="Arial" w:cs="Arial" w:eastAsia="Arial" w:hAnsi="Arial"/>
          <w:sz w:val="16"/>
          <w:szCs w:val="16"/>
          <w:b w:val="1"/>
          <w:bCs w:val="1"/>
          <w:color w:val="auto"/>
        </w:rPr>
      </w:pPr>
      <w:r>
        <w:rPr>
          <w:rFonts w:ascii="Arial" w:cs="Arial" w:eastAsia="Arial" w:hAnsi="Arial"/>
          <w:sz w:val="16"/>
          <w:szCs w:val="16"/>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55" w:lineRule="exact"/>
        <w:rPr>
          <w:rFonts w:ascii="Arial" w:cs="Arial" w:eastAsia="Arial" w:hAnsi="Arial"/>
          <w:sz w:val="16"/>
          <w:szCs w:val="16"/>
          <w:b w:val="1"/>
          <w:bCs w:val="1"/>
          <w:color w:val="auto"/>
        </w:rPr>
      </w:pPr>
    </w:p>
    <w:p>
      <w:pPr>
        <w:ind w:left="120" w:firstLine="877"/>
        <w:spacing w:after="0" w:line="306" w:lineRule="auto"/>
        <w:tabs>
          <w:tab w:leader="none" w:pos="1424" w:val="left"/>
        </w:tabs>
        <w:numPr>
          <w:ilvl w:val="2"/>
          <w:numId w:val="107"/>
        </w:numPr>
        <w:rPr>
          <w:rFonts w:ascii="Arial" w:cs="Arial" w:eastAsia="Arial" w:hAnsi="Arial"/>
          <w:sz w:val="16"/>
          <w:szCs w:val="16"/>
          <w:b w:val="1"/>
          <w:bCs w:val="1"/>
          <w:color w:val="auto"/>
        </w:rPr>
      </w:pPr>
      <w:r>
        <w:rPr>
          <w:rFonts w:ascii="Arial" w:cs="Arial" w:eastAsia="Arial" w:hAnsi="Arial"/>
          <w:sz w:val="16"/>
          <w:szCs w:val="16"/>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A-15</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940" w:hanging="384"/>
        <w:spacing w:after="0"/>
        <w:tabs>
          <w:tab w:leader="none" w:pos="940" w:val="left"/>
        </w:tabs>
        <w:numPr>
          <w:ilvl w:val="1"/>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45" w:lineRule="exact"/>
        <w:rPr>
          <w:rFonts w:ascii="Arial" w:cs="Arial" w:eastAsia="Arial" w:hAnsi="Arial"/>
          <w:sz w:val="16"/>
          <w:szCs w:val="16"/>
          <w:b w:val="1"/>
          <w:bCs w:val="1"/>
          <w:color w:val="auto"/>
        </w:rPr>
      </w:pPr>
    </w:p>
    <w:p>
      <w:pPr>
        <w:ind w:left="120" w:right="320" w:hanging="4"/>
        <w:spacing w:after="0" w:line="319" w:lineRule="auto"/>
        <w:tabs>
          <w:tab w:leader="none" w:pos="35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70" w:lineRule="exact"/>
        <w:rPr>
          <w:rFonts w:ascii="Arial" w:cs="Arial" w:eastAsia="Arial" w:hAnsi="Arial"/>
          <w:sz w:val="16"/>
          <w:szCs w:val="16"/>
          <w:color w:val="auto"/>
        </w:rPr>
      </w:pPr>
    </w:p>
    <w:p>
      <w:pPr>
        <w:ind w:left="560" w:right="320" w:firstLine="419"/>
        <w:spacing w:after="0" w:line="339" w:lineRule="auto"/>
        <w:tabs>
          <w:tab w:leader="none" w:pos="1316" w:val="left"/>
        </w:tabs>
        <w:numPr>
          <w:ilvl w:val="2"/>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w:t>
      </w:r>
    </w:p>
    <w:p>
      <w:pPr>
        <w:spacing w:after="0" w:line="155" w:lineRule="exact"/>
        <w:rPr>
          <w:rFonts w:ascii="Arial" w:cs="Arial" w:eastAsia="Arial" w:hAnsi="Arial"/>
          <w:sz w:val="16"/>
          <w:szCs w:val="16"/>
          <w:b w:val="1"/>
          <w:bCs w:val="1"/>
          <w:color w:val="auto"/>
        </w:rPr>
      </w:pPr>
    </w:p>
    <w:p>
      <w:pPr>
        <w:ind w:left="120" w:right="120" w:firstLine="1318"/>
        <w:spacing w:after="0" w:line="309" w:lineRule="auto"/>
        <w:tabs>
          <w:tab w:leader="none" w:pos="1820" w:val="left"/>
        </w:tabs>
        <w:numPr>
          <w:ilvl w:val="4"/>
          <w:numId w:val="109"/>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79" w:lineRule="exact"/>
        <w:rPr>
          <w:rFonts w:ascii="Arial" w:cs="Arial" w:eastAsia="Arial" w:hAnsi="Arial"/>
          <w:sz w:val="16"/>
          <w:szCs w:val="16"/>
          <w:b w:val="1"/>
          <w:bCs w:val="1"/>
          <w:color w:val="auto"/>
        </w:rPr>
      </w:pPr>
    </w:p>
    <w:p>
      <w:pPr>
        <w:ind w:left="120" w:right="20" w:firstLine="1318"/>
        <w:spacing w:after="0" w:line="307" w:lineRule="auto"/>
        <w:tabs>
          <w:tab w:leader="none" w:pos="1820" w:val="left"/>
        </w:tabs>
        <w:numPr>
          <w:ilvl w:val="4"/>
          <w:numId w:val="109"/>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80" w:lineRule="exact"/>
        <w:rPr>
          <w:rFonts w:ascii="Arial" w:cs="Arial" w:eastAsia="Arial" w:hAnsi="Arial"/>
          <w:sz w:val="16"/>
          <w:szCs w:val="16"/>
          <w:b w:val="1"/>
          <w:bCs w:val="1"/>
          <w:color w:val="auto"/>
        </w:rPr>
      </w:pPr>
    </w:p>
    <w:p>
      <w:pPr>
        <w:ind w:left="120" w:firstLine="877"/>
        <w:spacing w:after="0" w:line="339" w:lineRule="auto"/>
        <w:tabs>
          <w:tab w:leader="none" w:pos="1379" w:val="left"/>
        </w:tabs>
        <w:numPr>
          <w:ilvl w:val="3"/>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Unvested Non-Exempt Awards. </w:t>
      </w:r>
      <w:r>
        <w:rPr>
          <w:rFonts w:ascii="Arial" w:cs="Arial" w:eastAsia="Arial" w:hAnsi="Arial"/>
          <w:sz w:val="16"/>
          <w:szCs w:val="16"/>
          <w:color w:val="auto"/>
        </w:rPr>
        <w:t>The following provisions shall apply to any Unvested Non-Exempt Award unless otherwise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Board pursuant to subsection (e) of this Section.</w:t>
      </w:r>
    </w:p>
    <w:p>
      <w:pPr>
        <w:spacing w:after="0" w:line="155" w:lineRule="exact"/>
        <w:rPr>
          <w:rFonts w:ascii="Arial" w:cs="Arial" w:eastAsia="Arial" w:hAnsi="Arial"/>
          <w:sz w:val="16"/>
          <w:szCs w:val="16"/>
          <w:b w:val="1"/>
          <w:bCs w:val="1"/>
          <w:color w:val="auto"/>
        </w:rPr>
      </w:pPr>
    </w:p>
    <w:p>
      <w:pPr>
        <w:ind w:left="120" w:right="240" w:firstLine="1318"/>
        <w:spacing w:after="0" w:line="306" w:lineRule="auto"/>
        <w:tabs>
          <w:tab w:leader="none" w:pos="1820" w:val="left"/>
        </w:tabs>
        <w:numPr>
          <w:ilvl w:val="4"/>
          <w:numId w:val="109"/>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0" w:lineRule="exact"/>
        <w:rPr>
          <w:rFonts w:ascii="Arial" w:cs="Arial" w:eastAsia="Arial" w:hAnsi="Arial"/>
          <w:sz w:val="16"/>
          <w:szCs w:val="16"/>
          <w:b w:val="1"/>
          <w:bCs w:val="1"/>
          <w:color w:val="auto"/>
        </w:rPr>
      </w:pPr>
    </w:p>
    <w:p>
      <w:pPr>
        <w:ind w:left="120" w:firstLine="1318"/>
        <w:spacing w:after="0" w:line="305" w:lineRule="auto"/>
        <w:tabs>
          <w:tab w:leader="none" w:pos="1820" w:val="left"/>
        </w:tabs>
        <w:numPr>
          <w:ilvl w:val="4"/>
          <w:numId w:val="109"/>
        </w:numPr>
        <w:rPr>
          <w:rFonts w:ascii="Arial" w:cs="Arial" w:eastAsia="Arial" w:hAnsi="Arial"/>
          <w:sz w:val="16"/>
          <w:szCs w:val="16"/>
          <w:b w:val="1"/>
          <w:bCs w:val="1"/>
          <w:color w:val="auto"/>
        </w:rPr>
      </w:pPr>
      <w:r>
        <w:rPr>
          <w:rFonts w:ascii="Arial" w:cs="Arial" w:eastAsia="Arial" w:hAnsi="Arial"/>
          <w:sz w:val="16"/>
          <w:szCs w:val="16"/>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1" w:lineRule="exact"/>
        <w:rPr>
          <w:rFonts w:ascii="Arial" w:cs="Arial" w:eastAsia="Arial" w:hAnsi="Arial"/>
          <w:sz w:val="16"/>
          <w:szCs w:val="16"/>
          <w:b w:val="1"/>
          <w:bCs w:val="1"/>
          <w:color w:val="auto"/>
        </w:rPr>
      </w:pPr>
    </w:p>
    <w:p>
      <w:pPr>
        <w:ind w:left="120" w:right="500" w:firstLine="1318"/>
        <w:spacing w:after="0" w:line="339" w:lineRule="auto"/>
        <w:tabs>
          <w:tab w:leader="none" w:pos="1817" w:val="left"/>
        </w:tabs>
        <w:numPr>
          <w:ilvl w:val="4"/>
          <w:numId w:val="109"/>
        </w:numPr>
        <w:rPr>
          <w:rFonts w:ascii="Arial" w:cs="Arial" w:eastAsia="Arial" w:hAnsi="Arial"/>
          <w:sz w:val="16"/>
          <w:szCs w:val="16"/>
          <w:b w:val="1"/>
          <w:bCs w:val="1"/>
          <w:color w:val="auto"/>
        </w:rPr>
      </w:pPr>
      <w:r>
        <w:rPr>
          <w:rFonts w:ascii="Arial" w:cs="Arial" w:eastAsia="Arial" w:hAnsi="Arial"/>
          <w:sz w:val="16"/>
          <w:szCs w:val="16"/>
          <w:color w:val="auto"/>
        </w:rPr>
        <w:t>The foregoing treatment shall apply with respect to all Unvested Non-Exempt Awards upon any Corporate Transaction, and regardless of whether or not such Corporate Transaction is also a Section 409A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A-16</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480" w:firstLine="436"/>
        <w:spacing w:after="0" w:line="319" w:lineRule="auto"/>
        <w:tabs>
          <w:tab w:leader="none" w:pos="94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Non-Employee Directors. </w:t>
      </w:r>
      <w:r>
        <w:rPr>
          <w:rFonts w:ascii="Arial" w:cs="Arial" w:eastAsia="Arial" w:hAnsi="Arial"/>
          <w:sz w:val="16"/>
          <w:szCs w:val="16"/>
          <w:color w:val="auto"/>
        </w:rPr>
        <w:t>The following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0" w:lineRule="exact"/>
        <w:rPr>
          <w:rFonts w:ascii="Arial" w:cs="Arial" w:eastAsia="Arial" w:hAnsi="Arial"/>
          <w:sz w:val="16"/>
          <w:szCs w:val="16"/>
          <w:b w:val="1"/>
          <w:bCs w:val="1"/>
          <w:color w:val="auto"/>
        </w:rPr>
      </w:pPr>
    </w:p>
    <w:p>
      <w:pPr>
        <w:ind w:left="120" w:right="120" w:firstLine="877"/>
        <w:spacing w:after="0" w:line="309" w:lineRule="auto"/>
        <w:tabs>
          <w:tab w:leader="none" w:pos="1334"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9" w:lineRule="exact"/>
        <w:rPr>
          <w:rFonts w:ascii="Arial" w:cs="Arial" w:eastAsia="Arial" w:hAnsi="Arial"/>
          <w:sz w:val="16"/>
          <w:szCs w:val="16"/>
          <w:b w:val="1"/>
          <w:bCs w:val="1"/>
          <w:color w:val="auto"/>
        </w:rPr>
      </w:pPr>
    </w:p>
    <w:p>
      <w:pPr>
        <w:ind w:left="120" w:firstLine="877"/>
        <w:spacing w:after="0" w:line="306" w:lineRule="auto"/>
        <w:tabs>
          <w:tab w:leader="none" w:pos="1379"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80" w:lineRule="exact"/>
        <w:rPr>
          <w:rFonts w:ascii="Arial" w:cs="Arial" w:eastAsia="Arial" w:hAnsi="Arial"/>
          <w:sz w:val="16"/>
          <w:szCs w:val="16"/>
          <w:b w:val="1"/>
          <w:bCs w:val="1"/>
          <w:color w:val="auto"/>
        </w:rPr>
      </w:pPr>
    </w:p>
    <w:p>
      <w:pPr>
        <w:ind w:left="120" w:right="300" w:firstLine="436"/>
        <w:spacing w:after="0" w:line="339" w:lineRule="auto"/>
        <w:tabs>
          <w:tab w:leader="none" w:pos="938"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55" w:lineRule="exact"/>
        <w:rPr>
          <w:rFonts w:ascii="Arial" w:cs="Arial" w:eastAsia="Arial" w:hAnsi="Arial"/>
          <w:sz w:val="16"/>
          <w:szCs w:val="16"/>
          <w:b w:val="1"/>
          <w:bCs w:val="1"/>
          <w:color w:val="auto"/>
        </w:rPr>
      </w:pPr>
    </w:p>
    <w:p>
      <w:pPr>
        <w:ind w:left="120" w:right="340" w:firstLine="877"/>
        <w:spacing w:after="0" w:line="319" w:lineRule="auto"/>
        <w:tabs>
          <w:tab w:leader="none" w:pos="1325"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0" w:lineRule="exact"/>
        <w:rPr>
          <w:rFonts w:ascii="Arial" w:cs="Arial" w:eastAsia="Arial" w:hAnsi="Arial"/>
          <w:sz w:val="16"/>
          <w:szCs w:val="16"/>
          <w:b w:val="1"/>
          <w:bCs w:val="1"/>
          <w:color w:val="auto"/>
        </w:rPr>
      </w:pPr>
    </w:p>
    <w:p>
      <w:pPr>
        <w:ind w:left="120" w:right="300" w:firstLine="877"/>
        <w:spacing w:after="0" w:line="339" w:lineRule="auto"/>
        <w:tabs>
          <w:tab w:leader="none" w:pos="1376"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55" w:lineRule="exact"/>
        <w:rPr>
          <w:rFonts w:ascii="Arial" w:cs="Arial" w:eastAsia="Arial" w:hAnsi="Arial"/>
          <w:sz w:val="16"/>
          <w:szCs w:val="16"/>
          <w:b w:val="1"/>
          <w:bCs w:val="1"/>
          <w:color w:val="auto"/>
        </w:rPr>
      </w:pPr>
    </w:p>
    <w:p>
      <w:pPr>
        <w:ind w:left="120" w:right="20" w:firstLine="877"/>
        <w:spacing w:after="0" w:line="305" w:lineRule="auto"/>
        <w:tabs>
          <w:tab w:leader="none" w:pos="1421"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81" w:lineRule="exact"/>
        <w:rPr>
          <w:rFonts w:ascii="Arial" w:cs="Arial" w:eastAsia="Arial" w:hAnsi="Arial"/>
          <w:sz w:val="16"/>
          <w:szCs w:val="16"/>
          <w:b w:val="1"/>
          <w:bCs w:val="1"/>
          <w:color w:val="auto"/>
        </w:rPr>
      </w:pPr>
    </w:p>
    <w:p>
      <w:pPr>
        <w:ind w:left="120" w:right="460" w:firstLine="877"/>
        <w:spacing w:after="0" w:line="339" w:lineRule="auto"/>
        <w:tabs>
          <w:tab w:leader="none" w:pos="1421"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The provisions in this subsection (e) for delivery of the shares in respect of the settlement of an RSU Award that is a Non-Exempt Award are intended to comply with the requirements of Section 409A so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A-17</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340"/>
        <w:spacing w:after="0" w:line="339" w:lineRule="auto"/>
        <w:rPr>
          <w:sz w:val="20"/>
          <w:szCs w:val="20"/>
          <w:color w:val="auto"/>
        </w:rPr>
      </w:pPr>
      <w:r>
        <w:rPr>
          <w:rFonts w:ascii="Arial" w:cs="Arial" w:eastAsia="Arial" w:hAnsi="Arial"/>
          <w:sz w:val="16"/>
          <w:szCs w:val="16"/>
          <w:color w:val="auto"/>
        </w:rPr>
        <w:t>delivery of the shares to the Participant in respect of such Non-Exempt Award will not trigger the additional tax imposed under Section 409A, and any ambiguities herein will be so interpreted.</w:t>
      </w:r>
    </w:p>
    <w:p>
      <w:pPr>
        <w:spacing w:after="0" w:line="240" w:lineRule="exact"/>
        <w:rPr>
          <w:sz w:val="20"/>
          <w:szCs w:val="20"/>
          <w:color w:val="auto"/>
        </w:rPr>
      </w:pPr>
    </w:p>
    <w:p>
      <w:pPr>
        <w:ind w:left="620" w:hanging="504"/>
        <w:spacing w:after="0"/>
        <w:tabs>
          <w:tab w:leader="none" w:pos="6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EVERABILITY</w:t>
      </w:r>
      <w:r>
        <w:rPr>
          <w:rFonts w:ascii="Arial" w:cs="Arial" w:eastAsia="Arial" w:hAnsi="Arial"/>
          <w:sz w:val="20"/>
          <w:szCs w:val="20"/>
          <w:b w:val="1"/>
          <w:bCs w:val="1"/>
          <w:color w:val="auto"/>
        </w:rPr>
        <w:t>.</w:t>
      </w:r>
    </w:p>
    <w:p>
      <w:pPr>
        <w:spacing w:after="0" w:line="225" w:lineRule="exact"/>
        <w:rPr>
          <w:sz w:val="20"/>
          <w:szCs w:val="20"/>
          <w:color w:val="auto"/>
        </w:rPr>
      </w:pPr>
    </w:p>
    <w:p>
      <w:pPr>
        <w:ind w:left="120" w:firstLine="440"/>
        <w:spacing w:after="0" w:line="312" w:lineRule="auto"/>
        <w:rPr>
          <w:sz w:val="20"/>
          <w:szCs w:val="20"/>
          <w:color w:val="auto"/>
        </w:rPr>
      </w:pPr>
      <w:r>
        <w:rPr>
          <w:rFonts w:ascii="Arial" w:cs="Arial" w:eastAsia="Arial" w:hAnsi="Arial"/>
          <w:sz w:val="16"/>
          <w:szCs w:val="16"/>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62" w:lineRule="exact"/>
        <w:rPr>
          <w:sz w:val="20"/>
          <w:szCs w:val="20"/>
          <w:color w:val="auto"/>
        </w:rPr>
      </w:pPr>
    </w:p>
    <w:p>
      <w:pPr>
        <w:ind w:left="620" w:hanging="504"/>
        <w:spacing w:after="0"/>
        <w:tabs>
          <w:tab w:leader="none" w:pos="62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ERMINATION OF THE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120" w:right="240" w:hanging="4"/>
        <w:spacing w:after="0" w:line="339" w:lineRule="auto"/>
        <w:tabs>
          <w:tab w:leader="none" w:pos="30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Adoption Date, or (ii) the date the Plan is approved by the Company’s stockholders. No Awards may be granted under the Plan while the Plan is suspended or after it is terminated.</w:t>
      </w:r>
    </w:p>
    <w:p>
      <w:pPr>
        <w:spacing w:after="0" w:line="240" w:lineRule="exact"/>
        <w:rPr>
          <w:sz w:val="20"/>
          <w:szCs w:val="20"/>
          <w:color w:val="auto"/>
        </w:rPr>
      </w:pPr>
    </w:p>
    <w:p>
      <w:pPr>
        <w:ind w:left="620" w:hanging="504"/>
        <w:spacing w:after="0"/>
        <w:tabs>
          <w:tab w:leader="none" w:pos="620" w:val="left"/>
        </w:tabs>
        <w:numPr>
          <w:ilvl w:val="0"/>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EFINITIONS</w:t>
      </w:r>
      <w:r>
        <w:rPr>
          <w:rFonts w:ascii="Arial" w:cs="Arial" w:eastAsia="Arial" w:hAnsi="Arial"/>
          <w:sz w:val="20"/>
          <w:szCs w:val="20"/>
          <w:b w:val="1"/>
          <w:bCs w:val="1"/>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in the Plan, the following definitions apply to the capitalized terms indicated below:</w:t>
      </w:r>
    </w:p>
    <w:p>
      <w:pPr>
        <w:spacing w:after="0" w:line="262" w:lineRule="exact"/>
        <w:rPr>
          <w:sz w:val="20"/>
          <w:szCs w:val="20"/>
          <w:color w:val="auto"/>
        </w:rPr>
      </w:pPr>
    </w:p>
    <w:p>
      <w:pPr>
        <w:ind w:left="940" w:hanging="384"/>
        <w:spacing w:after="0"/>
        <w:tabs>
          <w:tab w:leader="none" w:pos="94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Acquiring Entity</w:t>
      </w:r>
      <w:r>
        <w:rPr>
          <w:rFonts w:ascii="Arial" w:cs="Arial" w:eastAsia="Arial" w:hAnsi="Arial"/>
          <w:sz w:val="16"/>
          <w:szCs w:val="16"/>
          <w:color w:val="auto"/>
        </w:rPr>
        <w:t>” means the surviving or acquiring corporation (or its parent company) in connection with a Corporate Transaction.</w:t>
      </w:r>
    </w:p>
    <w:p>
      <w:pPr>
        <w:spacing w:after="0" w:line="261" w:lineRule="exact"/>
        <w:rPr>
          <w:rFonts w:ascii="Arial" w:cs="Arial" w:eastAsia="Arial" w:hAnsi="Arial"/>
          <w:sz w:val="16"/>
          <w:szCs w:val="16"/>
          <w:b w:val="1"/>
          <w:bCs w:val="1"/>
          <w:color w:val="auto"/>
        </w:rPr>
      </w:pPr>
    </w:p>
    <w:p>
      <w:pPr>
        <w:ind w:left="940" w:hanging="384"/>
        <w:spacing w:after="0"/>
        <w:tabs>
          <w:tab w:leader="none" w:pos="94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Adoption Date</w:t>
      </w:r>
      <w:r>
        <w:rPr>
          <w:rFonts w:ascii="Arial" w:cs="Arial" w:eastAsia="Arial" w:hAnsi="Arial"/>
          <w:sz w:val="16"/>
          <w:szCs w:val="16"/>
          <w:color w:val="auto"/>
        </w:rPr>
        <w:t>” means the date the Plan is first approved by the Board or Compensation Committee.</w:t>
      </w:r>
    </w:p>
    <w:p>
      <w:pPr>
        <w:spacing w:after="0" w:line="261" w:lineRule="exact"/>
        <w:rPr>
          <w:rFonts w:ascii="Arial" w:cs="Arial" w:eastAsia="Arial" w:hAnsi="Arial"/>
          <w:sz w:val="16"/>
          <w:szCs w:val="16"/>
          <w:b w:val="1"/>
          <w:bCs w:val="1"/>
          <w:color w:val="auto"/>
        </w:rPr>
      </w:pPr>
    </w:p>
    <w:p>
      <w:pPr>
        <w:ind w:left="120" w:right="580" w:firstLine="436"/>
        <w:spacing w:after="0" w:line="319" w:lineRule="auto"/>
        <w:tabs>
          <w:tab w:leader="none" w:pos="938"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70" w:lineRule="exact"/>
        <w:rPr>
          <w:rFonts w:ascii="Arial" w:cs="Arial" w:eastAsia="Arial" w:hAnsi="Arial"/>
          <w:sz w:val="16"/>
          <w:szCs w:val="16"/>
          <w:b w:val="1"/>
          <w:bCs w:val="1"/>
          <w:color w:val="auto"/>
        </w:rPr>
      </w:pPr>
    </w:p>
    <w:p>
      <w:pPr>
        <w:ind w:left="120" w:right="80" w:firstLine="436"/>
        <w:spacing w:after="0" w:line="312" w:lineRule="auto"/>
        <w:tabs>
          <w:tab w:leader="none" w:pos="947"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77" w:lineRule="exact"/>
        <w:rPr>
          <w:rFonts w:ascii="Arial" w:cs="Arial" w:eastAsia="Arial" w:hAnsi="Arial"/>
          <w:sz w:val="16"/>
          <w:szCs w:val="16"/>
          <w:b w:val="1"/>
          <w:bCs w:val="1"/>
          <w:color w:val="auto"/>
        </w:rPr>
      </w:pPr>
    </w:p>
    <w:p>
      <w:pPr>
        <w:ind w:left="120" w:right="300" w:firstLine="436"/>
        <w:spacing w:after="0" w:line="339" w:lineRule="auto"/>
        <w:tabs>
          <w:tab w:leader="none" w:pos="938"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55" w:lineRule="exact"/>
        <w:rPr>
          <w:rFonts w:ascii="Arial" w:cs="Arial" w:eastAsia="Arial" w:hAnsi="Arial"/>
          <w:sz w:val="16"/>
          <w:szCs w:val="16"/>
          <w:b w:val="1"/>
          <w:bCs w:val="1"/>
          <w:color w:val="auto"/>
        </w:rPr>
      </w:pPr>
    </w:p>
    <w:p>
      <w:pPr>
        <w:ind w:left="120" w:right="220" w:firstLine="436"/>
        <w:spacing w:after="0" w:line="319" w:lineRule="auto"/>
        <w:tabs>
          <w:tab w:leader="none" w:pos="902"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70" w:lineRule="exact"/>
        <w:rPr>
          <w:rFonts w:ascii="Arial" w:cs="Arial" w:eastAsia="Arial" w:hAnsi="Arial"/>
          <w:sz w:val="16"/>
          <w:szCs w:val="16"/>
          <w:b w:val="1"/>
          <w:bCs w:val="1"/>
          <w:color w:val="auto"/>
        </w:rPr>
      </w:pPr>
    </w:p>
    <w:p>
      <w:pPr>
        <w:ind w:left="120" w:right="40" w:firstLine="436"/>
        <w:spacing w:after="0" w:line="319" w:lineRule="auto"/>
        <w:tabs>
          <w:tab w:leader="none" w:pos="947"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7029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A-18</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940" w:hanging="384"/>
        <w:spacing w:after="0"/>
        <w:tabs>
          <w:tab w:leader="none" w:pos="94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means each and every class of stock of the Company, regardless of the number of votes per share.</w:t>
      </w:r>
    </w:p>
    <w:p>
      <w:pPr>
        <w:spacing w:after="0" w:line="261" w:lineRule="exact"/>
        <w:rPr>
          <w:rFonts w:ascii="Arial" w:cs="Arial" w:eastAsia="Arial" w:hAnsi="Arial"/>
          <w:sz w:val="16"/>
          <w:szCs w:val="16"/>
          <w:b w:val="1"/>
          <w:bCs w:val="1"/>
          <w:color w:val="auto"/>
        </w:rPr>
      </w:pPr>
    </w:p>
    <w:p>
      <w:pPr>
        <w:ind w:left="120" w:right="40" w:firstLine="436"/>
        <w:spacing w:after="0" w:line="307" w:lineRule="auto"/>
        <w:tabs>
          <w:tab w:leader="none" w:pos="938" w:val="left"/>
        </w:tabs>
        <w:numPr>
          <w:ilvl w:val="0"/>
          <w:numId w:val="116"/>
        </w:numPr>
        <w:rPr>
          <w:rFonts w:ascii="Arial" w:cs="Arial" w:eastAsia="Arial" w:hAnsi="Arial"/>
          <w:sz w:val="16"/>
          <w:szCs w:val="16"/>
          <w:b w:val="1"/>
          <w:bCs w:val="1"/>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0" w:lineRule="exact"/>
        <w:rPr>
          <w:rFonts w:ascii="Arial" w:cs="Arial" w:eastAsia="Arial" w:hAnsi="Arial"/>
          <w:sz w:val="16"/>
          <w:szCs w:val="16"/>
          <w:b w:val="1"/>
          <w:bCs w:val="1"/>
          <w:color w:val="auto"/>
        </w:rPr>
      </w:pPr>
    </w:p>
    <w:p>
      <w:pPr>
        <w:ind w:left="120" w:firstLine="436"/>
        <w:spacing w:after="0" w:line="302" w:lineRule="auto"/>
        <w:tabs>
          <w:tab w:leader="none" w:pos="893"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9" w:lineRule="exact"/>
        <w:rPr>
          <w:rFonts w:ascii="Arial" w:cs="Arial" w:eastAsia="Arial" w:hAnsi="Arial"/>
          <w:sz w:val="16"/>
          <w:szCs w:val="16"/>
          <w:b w:val="1"/>
          <w:bCs w:val="1"/>
          <w:color w:val="auto"/>
        </w:rPr>
      </w:pPr>
    </w:p>
    <w:p>
      <w:pPr>
        <w:ind w:left="120" w:right="160" w:firstLine="436"/>
        <w:spacing w:after="0" w:line="319" w:lineRule="auto"/>
        <w:tabs>
          <w:tab w:leader="none" w:pos="938"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or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70" w:lineRule="exact"/>
        <w:rPr>
          <w:rFonts w:ascii="Arial" w:cs="Arial" w:eastAsia="Arial" w:hAnsi="Arial"/>
          <w:sz w:val="16"/>
          <w:szCs w:val="16"/>
          <w:b w:val="1"/>
          <w:bCs w:val="1"/>
          <w:color w:val="auto"/>
        </w:rPr>
      </w:pPr>
    </w:p>
    <w:p>
      <w:pPr>
        <w:ind w:left="120" w:firstLine="877"/>
        <w:spacing w:after="0" w:line="303" w:lineRule="auto"/>
        <w:tabs>
          <w:tab w:leader="none" w:pos="1334" w:val="left"/>
        </w:tabs>
        <w:numPr>
          <w:ilvl w:val="1"/>
          <w:numId w:val="11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7029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A-19</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firstLine="877"/>
        <w:spacing w:after="0" w:line="307" w:lineRule="auto"/>
        <w:tabs>
          <w:tab w:leader="none" w:pos="1379"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0" w:lineRule="exact"/>
        <w:rPr>
          <w:rFonts w:ascii="Arial" w:cs="Arial" w:eastAsia="Arial" w:hAnsi="Arial"/>
          <w:sz w:val="16"/>
          <w:szCs w:val="16"/>
          <w:b w:val="1"/>
          <w:bCs w:val="1"/>
          <w:color w:val="auto"/>
        </w:rPr>
      </w:pPr>
    </w:p>
    <w:p>
      <w:pPr>
        <w:ind w:left="120" w:right="220" w:firstLine="877"/>
        <w:spacing w:after="0" w:line="309" w:lineRule="auto"/>
        <w:tabs>
          <w:tab w:leader="none" w:pos="1424"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Arial" w:cs="Arial" w:eastAsia="Arial" w:hAnsi="Arial"/>
          <w:sz w:val="16"/>
          <w:szCs w:val="16"/>
          <w:b w:val="1"/>
          <w:bCs w:val="1"/>
          <w:color w:val="auto"/>
        </w:rPr>
      </w:pPr>
    </w:p>
    <w:p>
      <w:pPr>
        <w:ind w:left="120" w:right="60" w:firstLine="877"/>
        <w:spacing w:after="0" w:line="312" w:lineRule="auto"/>
        <w:tabs>
          <w:tab w:leader="none" w:pos="1424"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individuals who, on the date the Plan is adopted by the Board, are members of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7" w:lineRule="exact"/>
        <w:rPr>
          <w:sz w:val="20"/>
          <w:szCs w:val="20"/>
          <w:color w:val="auto"/>
        </w:rPr>
      </w:pPr>
    </w:p>
    <w:p>
      <w:pPr>
        <w:ind w:left="120" w:right="40" w:firstLine="440"/>
        <w:spacing w:after="0" w:line="309" w:lineRule="auto"/>
        <w:rPr>
          <w:sz w:val="20"/>
          <w:szCs w:val="20"/>
          <w:color w:val="auto"/>
        </w:rPr>
      </w:pPr>
      <w:r>
        <w:rPr>
          <w:rFonts w:ascii="Arial" w:cs="Arial" w:eastAsia="Arial" w:hAnsi="Arial"/>
          <w:sz w:val="16"/>
          <w:szCs w:val="16"/>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880" w:hanging="324"/>
        <w:spacing w:after="0"/>
        <w:tabs>
          <w:tab w:leader="none" w:pos="88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61" w:lineRule="exact"/>
        <w:rPr>
          <w:rFonts w:ascii="Arial" w:cs="Arial" w:eastAsia="Arial" w:hAnsi="Arial"/>
          <w:sz w:val="16"/>
          <w:szCs w:val="16"/>
          <w:b w:val="1"/>
          <w:bCs w:val="1"/>
          <w:color w:val="auto"/>
        </w:rPr>
      </w:pPr>
    </w:p>
    <w:p>
      <w:pPr>
        <w:ind w:left="120" w:right="20" w:firstLine="436"/>
        <w:spacing w:after="0" w:line="339" w:lineRule="auto"/>
        <w:tabs>
          <w:tab w:leader="none" w:pos="992"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and any other committee of one or more Directors to whom authority has been delegated by the Board or Compensation Committee in accordance with the Plan.</w:t>
      </w:r>
    </w:p>
    <w:p>
      <w:pPr>
        <w:spacing w:after="0" w:line="155" w:lineRule="exact"/>
        <w:rPr>
          <w:rFonts w:ascii="Arial" w:cs="Arial" w:eastAsia="Arial" w:hAnsi="Arial"/>
          <w:sz w:val="16"/>
          <w:szCs w:val="16"/>
          <w:b w:val="1"/>
          <w:bCs w:val="1"/>
          <w:color w:val="auto"/>
        </w:rPr>
      </w:pPr>
    </w:p>
    <w:p>
      <w:pPr>
        <w:ind w:left="940" w:hanging="384"/>
        <w:spacing w:after="0"/>
        <w:tabs>
          <w:tab w:leader="none" w:pos="94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Class A common stock of the Company.</w:t>
      </w:r>
    </w:p>
    <w:p>
      <w:pPr>
        <w:spacing w:after="0" w:line="261" w:lineRule="exact"/>
        <w:rPr>
          <w:rFonts w:ascii="Arial" w:cs="Arial" w:eastAsia="Arial" w:hAnsi="Arial"/>
          <w:sz w:val="16"/>
          <w:szCs w:val="16"/>
          <w:b w:val="1"/>
          <w:bCs w:val="1"/>
          <w:color w:val="auto"/>
        </w:rPr>
      </w:pPr>
    </w:p>
    <w:p>
      <w:pPr>
        <w:ind w:left="940" w:hanging="384"/>
        <w:spacing w:after="0"/>
        <w:tabs>
          <w:tab w:leader="none" w:pos="94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NerdWallet, Inc., a Delaware corporation.</w:t>
      </w:r>
    </w:p>
    <w:p>
      <w:pPr>
        <w:spacing w:after="0" w:line="261" w:lineRule="exact"/>
        <w:rPr>
          <w:rFonts w:ascii="Arial" w:cs="Arial" w:eastAsia="Arial" w:hAnsi="Arial"/>
          <w:sz w:val="16"/>
          <w:szCs w:val="16"/>
          <w:b w:val="1"/>
          <w:bCs w:val="1"/>
          <w:color w:val="auto"/>
        </w:rPr>
      </w:pPr>
    </w:p>
    <w:p>
      <w:pPr>
        <w:ind w:left="940" w:hanging="384"/>
        <w:spacing w:after="0"/>
        <w:tabs>
          <w:tab w:leader="none" w:pos="94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means the Compensation Committee of the Board.</w:t>
      </w:r>
    </w:p>
    <w:p>
      <w:pPr>
        <w:spacing w:after="0" w:line="261" w:lineRule="exact"/>
        <w:rPr>
          <w:rFonts w:ascii="Arial" w:cs="Arial" w:eastAsia="Arial" w:hAnsi="Arial"/>
          <w:sz w:val="16"/>
          <w:szCs w:val="16"/>
          <w:b w:val="1"/>
          <w:bCs w:val="1"/>
          <w:color w:val="auto"/>
        </w:rPr>
      </w:pPr>
    </w:p>
    <w:p>
      <w:pPr>
        <w:ind w:left="120" w:right="60" w:firstLine="436"/>
        <w:spacing w:after="0" w:line="309" w:lineRule="auto"/>
        <w:tabs>
          <w:tab w:leader="none" w:pos="947"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Arial" w:cs="Arial" w:eastAsia="Arial" w:hAnsi="Arial"/>
          <w:sz w:val="16"/>
          <w:szCs w:val="16"/>
          <w:b w:val="1"/>
          <w:bCs w:val="1"/>
          <w:color w:val="auto"/>
        </w:rPr>
      </w:pPr>
    </w:p>
    <w:p>
      <w:pPr>
        <w:ind w:left="120" w:right="40" w:firstLine="436"/>
        <w:spacing w:after="0" w:line="339" w:lineRule="auto"/>
        <w:tabs>
          <w:tab w:leader="none" w:pos="911"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that the Participant’s service with the Company or an Affiliate, whether as an Employee, Director or Consultant, is not interrupted or terminated. A change in the capacity in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A-20</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080"/>
          </w:cols>
          <w:pgMar w:left="320" w:top="455"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302" w:lineRule="auto"/>
        <w:rPr>
          <w:sz w:val="20"/>
          <w:szCs w:val="20"/>
          <w:color w:val="auto"/>
        </w:rPr>
      </w:pPr>
      <w:r>
        <w:rPr>
          <w:rFonts w:ascii="Arial" w:cs="Arial" w:eastAsia="Arial" w:hAnsi="Arial"/>
          <w:sz w:val="16"/>
          <w:szCs w:val="16"/>
          <w:color w:val="auto"/>
        </w:rPr>
        <w:t>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90" w:lineRule="exact"/>
        <w:rPr>
          <w:sz w:val="20"/>
          <w:szCs w:val="20"/>
          <w:color w:val="auto"/>
        </w:rPr>
      </w:pPr>
    </w:p>
    <w:p>
      <w:pPr>
        <w:ind w:left="120" w:right="240" w:firstLine="436"/>
        <w:spacing w:after="0" w:line="339" w:lineRule="auto"/>
        <w:tabs>
          <w:tab w:leader="none" w:pos="938"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consummation, in a single transaction or in a series of related transactions, of any one or more of the following events:</w:t>
      </w:r>
    </w:p>
    <w:p>
      <w:pPr>
        <w:spacing w:after="0" w:line="155" w:lineRule="exact"/>
        <w:rPr>
          <w:rFonts w:ascii="Arial" w:cs="Arial" w:eastAsia="Arial" w:hAnsi="Arial"/>
          <w:sz w:val="16"/>
          <w:szCs w:val="16"/>
          <w:b w:val="1"/>
          <w:bCs w:val="1"/>
          <w:color w:val="auto"/>
        </w:rPr>
      </w:pPr>
    </w:p>
    <w:p>
      <w:pPr>
        <w:ind w:left="1340" w:hanging="343"/>
        <w:spacing w:after="0"/>
        <w:tabs>
          <w:tab w:leader="none" w:pos="1340" w:val="left"/>
        </w:tabs>
        <w:numPr>
          <w:ilvl w:val="2"/>
          <w:numId w:val="119"/>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all or substantially all, as determined by the Board, of the consolidated assets of the Company and its</w:t>
      </w:r>
    </w:p>
    <w:p>
      <w:pPr>
        <w:spacing w:after="0" w:line="45"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color w:val="auto"/>
        </w:rPr>
        <w:t>Subsidiaries;</w:t>
      </w:r>
    </w:p>
    <w:p>
      <w:pPr>
        <w:spacing w:after="0" w:line="261" w:lineRule="exact"/>
        <w:rPr>
          <w:rFonts w:ascii="Arial" w:cs="Arial" w:eastAsia="Arial" w:hAnsi="Arial"/>
          <w:sz w:val="16"/>
          <w:szCs w:val="16"/>
          <w:b w:val="1"/>
          <w:bCs w:val="1"/>
          <w:color w:val="auto"/>
        </w:rPr>
      </w:pPr>
    </w:p>
    <w:p>
      <w:pPr>
        <w:ind w:left="1380" w:hanging="383"/>
        <w:spacing w:after="0"/>
        <w:tabs>
          <w:tab w:leader="none" w:pos="1380" w:val="left"/>
        </w:tabs>
        <w:numPr>
          <w:ilvl w:val="2"/>
          <w:numId w:val="119"/>
        </w:numPr>
        <w:rPr>
          <w:rFonts w:ascii="Arial" w:cs="Arial" w:eastAsia="Arial" w:hAnsi="Arial"/>
          <w:sz w:val="16"/>
          <w:szCs w:val="16"/>
          <w:b w:val="1"/>
          <w:bCs w:val="1"/>
          <w:color w:val="auto"/>
        </w:rPr>
      </w:pPr>
      <w:r>
        <w:rPr>
          <w:rFonts w:ascii="Arial" w:cs="Arial" w:eastAsia="Arial" w:hAnsi="Arial"/>
          <w:sz w:val="16"/>
          <w:szCs w:val="16"/>
          <w:color w:val="auto"/>
        </w:rPr>
        <w:t>a sale or other disposition of at least 50% of the outstanding securities of the Company;</w:t>
      </w:r>
    </w:p>
    <w:p>
      <w:pPr>
        <w:spacing w:after="0" w:line="261" w:lineRule="exact"/>
        <w:rPr>
          <w:rFonts w:ascii="Arial" w:cs="Arial" w:eastAsia="Arial" w:hAnsi="Arial"/>
          <w:sz w:val="16"/>
          <w:szCs w:val="16"/>
          <w:b w:val="1"/>
          <w:bCs w:val="1"/>
          <w:color w:val="auto"/>
        </w:rPr>
      </w:pPr>
    </w:p>
    <w:p>
      <w:pPr>
        <w:ind w:left="1400" w:hanging="421"/>
        <w:spacing w:after="0"/>
        <w:tabs>
          <w:tab w:leader="none" w:pos="1400" w:val="left"/>
        </w:tabs>
        <w:numPr>
          <w:ilvl w:val="1"/>
          <w:numId w:val="119"/>
        </w:numPr>
        <w:rPr>
          <w:rFonts w:ascii="Arial" w:cs="Arial" w:eastAsia="Arial" w:hAnsi="Arial"/>
          <w:sz w:val="16"/>
          <w:szCs w:val="16"/>
          <w:b w:val="1"/>
          <w:bCs w:val="1"/>
          <w:color w:val="auto"/>
        </w:rPr>
      </w:pPr>
      <w:r>
        <w:rPr>
          <w:rFonts w:ascii="Arial" w:cs="Arial" w:eastAsia="Arial" w:hAnsi="Arial"/>
          <w:sz w:val="16"/>
          <w:szCs w:val="16"/>
          <w:color w:val="auto"/>
        </w:rPr>
        <w:t>a merger, consolidation or similar transaction following which the Company is not the surviving corporation; or</w:t>
      </w:r>
    </w:p>
    <w:p>
      <w:pPr>
        <w:spacing w:after="0" w:line="261" w:lineRule="exact"/>
        <w:rPr>
          <w:rFonts w:ascii="Arial" w:cs="Arial" w:eastAsia="Arial" w:hAnsi="Arial"/>
          <w:sz w:val="16"/>
          <w:szCs w:val="16"/>
          <w:b w:val="1"/>
          <w:bCs w:val="1"/>
          <w:color w:val="auto"/>
        </w:rPr>
      </w:pPr>
    </w:p>
    <w:p>
      <w:pPr>
        <w:ind w:left="120" w:right="380" w:firstLine="877"/>
        <w:spacing w:after="0" w:line="319" w:lineRule="auto"/>
        <w:tabs>
          <w:tab w:leader="none" w:pos="1424" w:val="left"/>
        </w:tabs>
        <w:numPr>
          <w:ilvl w:val="2"/>
          <w:numId w:val="120"/>
        </w:numPr>
        <w:rPr>
          <w:rFonts w:ascii="Arial" w:cs="Arial" w:eastAsia="Arial" w:hAnsi="Arial"/>
          <w:sz w:val="16"/>
          <w:szCs w:val="16"/>
          <w:b w:val="1"/>
          <w:bCs w:val="1"/>
          <w:color w:val="auto"/>
        </w:rPr>
      </w:pPr>
      <w:r>
        <w:rPr>
          <w:rFonts w:ascii="Arial" w:cs="Arial" w:eastAsia="Arial" w:hAnsi="Arial"/>
          <w:sz w:val="16"/>
          <w:szCs w:val="16"/>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80" w:lineRule="exact"/>
        <w:rPr>
          <w:sz w:val="20"/>
          <w:szCs w:val="20"/>
          <w:color w:val="auto"/>
        </w:rPr>
      </w:pPr>
    </w:p>
    <w:p>
      <w:pPr>
        <w:ind w:left="900" w:hanging="344"/>
        <w:spacing w:after="0"/>
        <w:tabs>
          <w:tab w:leader="none" w:pos="900"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61" w:lineRule="exact"/>
        <w:rPr>
          <w:rFonts w:ascii="Arial" w:cs="Arial" w:eastAsia="Arial" w:hAnsi="Arial"/>
          <w:sz w:val="16"/>
          <w:szCs w:val="16"/>
          <w:b w:val="1"/>
          <w:bCs w:val="1"/>
          <w:color w:val="auto"/>
        </w:rPr>
      </w:pPr>
    </w:p>
    <w:p>
      <w:pPr>
        <w:ind w:left="940" w:hanging="384"/>
        <w:spacing w:after="0"/>
        <w:tabs>
          <w:tab w:leader="none" w:pos="940"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determine</w:t>
      </w:r>
      <w:r>
        <w:rPr>
          <w:rFonts w:ascii="Arial" w:cs="Arial" w:eastAsia="Arial" w:hAnsi="Arial"/>
          <w:sz w:val="16"/>
          <w:szCs w:val="16"/>
          <w:color w:val="auto"/>
        </w:rPr>
        <w:t>” or “</w:t>
      </w:r>
      <w:r>
        <w:rPr>
          <w:rFonts w:ascii="Arial" w:cs="Arial" w:eastAsia="Arial" w:hAnsi="Arial"/>
          <w:sz w:val="16"/>
          <w:szCs w:val="16"/>
          <w:b w:val="1"/>
          <w:bCs w:val="1"/>
          <w:i w:val="1"/>
          <w:iCs w:val="1"/>
          <w:color w:val="auto"/>
        </w:rPr>
        <w:t>determined</w:t>
      </w:r>
      <w:r>
        <w:rPr>
          <w:rFonts w:ascii="Arial" w:cs="Arial" w:eastAsia="Arial" w:hAnsi="Arial"/>
          <w:sz w:val="16"/>
          <w:szCs w:val="16"/>
          <w:color w:val="auto"/>
        </w:rPr>
        <w:t>” means as determined by the Board or the Committee (or its designee) in its sole discretion.</w:t>
      </w:r>
    </w:p>
    <w:p>
      <w:pPr>
        <w:spacing w:after="0" w:line="261" w:lineRule="exact"/>
        <w:rPr>
          <w:rFonts w:ascii="Arial" w:cs="Arial" w:eastAsia="Arial" w:hAnsi="Arial"/>
          <w:sz w:val="16"/>
          <w:szCs w:val="16"/>
          <w:b w:val="1"/>
          <w:bCs w:val="1"/>
          <w:color w:val="auto"/>
        </w:rPr>
      </w:pPr>
    </w:p>
    <w:p>
      <w:pPr>
        <w:ind w:left="120" w:right="400" w:firstLine="436"/>
        <w:spacing w:after="0" w:line="339" w:lineRule="auto"/>
        <w:tabs>
          <w:tab w:leader="none" w:pos="938" w:val="left"/>
        </w:tabs>
        <w:numPr>
          <w:ilvl w:val="0"/>
          <w:numId w:val="1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with respect to a Participant, such Participant is unable to engage in any substantial gainful activity by reason of any medically determinable physical or mental impairment which can be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A-21</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339" w:lineRule="auto"/>
        <w:rPr>
          <w:sz w:val="20"/>
          <w:szCs w:val="20"/>
          <w:color w:val="auto"/>
        </w:rPr>
      </w:pPr>
      <w:r>
        <w:rPr>
          <w:rFonts w:ascii="Arial" w:cs="Arial" w:eastAsia="Arial" w:hAnsi="Arial"/>
          <w:sz w:val="16"/>
          <w:szCs w:val="16"/>
          <w:color w:val="auto"/>
        </w:rPr>
        <w:t>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55" w:lineRule="exact"/>
        <w:rPr>
          <w:sz w:val="20"/>
          <w:szCs w:val="20"/>
          <w:color w:val="auto"/>
        </w:rPr>
      </w:pPr>
    </w:p>
    <w:p>
      <w:pPr>
        <w:ind w:left="980" w:hanging="424"/>
        <w:spacing w:after="0"/>
        <w:tabs>
          <w:tab w:leader="none" w:pos="980" w:val="left"/>
        </w:tabs>
        <w:numPr>
          <w:ilvl w:val="0"/>
          <w:numId w:val="12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this Plan is approved by the Company’s stockholders prior to the IPO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w:t>
      </w:r>
    </w:p>
    <w:p>
      <w:pPr>
        <w:spacing w:after="0" w:line="262" w:lineRule="exact"/>
        <w:rPr>
          <w:sz w:val="20"/>
          <w:szCs w:val="20"/>
          <w:color w:val="auto"/>
        </w:rPr>
      </w:pPr>
    </w:p>
    <w:p>
      <w:pPr>
        <w:ind w:left="120" w:right="80" w:firstLine="436"/>
        <w:spacing w:after="0" w:line="339" w:lineRule="auto"/>
        <w:tabs>
          <w:tab w:leader="none" w:pos="938"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employed by the Company or an Affiliate. However, service solely as a Director, or payment of a fee for such services, will not cause a Director to be considered an “Employee” for purposes of the Plan.</w:t>
      </w:r>
    </w:p>
    <w:p>
      <w:pPr>
        <w:spacing w:after="0" w:line="155" w:lineRule="exact"/>
        <w:rPr>
          <w:rFonts w:ascii="Arial" w:cs="Arial" w:eastAsia="Arial" w:hAnsi="Arial"/>
          <w:sz w:val="16"/>
          <w:szCs w:val="16"/>
          <w:b w:val="1"/>
          <w:bCs w:val="1"/>
          <w:color w:val="auto"/>
        </w:rPr>
      </w:pPr>
    </w:p>
    <w:p>
      <w:pPr>
        <w:ind w:left="940" w:hanging="384"/>
        <w:spacing w:after="0"/>
        <w:tabs>
          <w:tab w:leader="none" w:pos="940"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means the Company or the Affiliate of the Company that employs the Participant.</w:t>
      </w:r>
    </w:p>
    <w:p>
      <w:pPr>
        <w:spacing w:after="0" w:line="261" w:lineRule="exact"/>
        <w:rPr>
          <w:rFonts w:ascii="Arial" w:cs="Arial" w:eastAsia="Arial" w:hAnsi="Arial"/>
          <w:sz w:val="16"/>
          <w:szCs w:val="16"/>
          <w:b w:val="1"/>
          <w:bCs w:val="1"/>
          <w:color w:val="auto"/>
        </w:rPr>
      </w:pPr>
    </w:p>
    <w:p>
      <w:pPr>
        <w:ind w:left="920" w:hanging="364"/>
        <w:spacing w:after="0"/>
        <w:tabs>
          <w:tab w:leader="none" w:pos="920"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 corporation, partnership, limited liability company or other entity.</w:t>
      </w:r>
    </w:p>
    <w:p>
      <w:pPr>
        <w:spacing w:after="0" w:line="262" w:lineRule="exact"/>
        <w:rPr>
          <w:sz w:val="20"/>
          <w:szCs w:val="20"/>
          <w:color w:val="auto"/>
        </w:rPr>
      </w:pPr>
    </w:p>
    <w:p>
      <w:pPr>
        <w:ind w:left="1020" w:hanging="464"/>
        <w:spacing w:after="0"/>
        <w:tabs>
          <w:tab w:leader="none" w:pos="1020"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61" w:lineRule="exact"/>
        <w:rPr>
          <w:rFonts w:ascii="Arial" w:cs="Arial" w:eastAsia="Arial" w:hAnsi="Arial"/>
          <w:sz w:val="16"/>
          <w:szCs w:val="16"/>
          <w:b w:val="1"/>
          <w:bCs w:val="1"/>
          <w:color w:val="auto"/>
        </w:rPr>
      </w:pPr>
    </w:p>
    <w:p>
      <w:pPr>
        <w:ind w:left="120" w:right="20" w:firstLine="436"/>
        <w:spacing w:after="0" w:line="306" w:lineRule="auto"/>
        <w:tabs>
          <w:tab w:leader="none" w:pos="1046"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0" w:lineRule="exact"/>
        <w:rPr>
          <w:rFonts w:ascii="Arial" w:cs="Arial" w:eastAsia="Arial" w:hAnsi="Arial"/>
          <w:sz w:val="16"/>
          <w:szCs w:val="16"/>
          <w:b w:val="1"/>
          <w:bCs w:val="1"/>
          <w:color w:val="auto"/>
        </w:rPr>
      </w:pPr>
    </w:p>
    <w:p>
      <w:pPr>
        <w:ind w:left="120" w:firstLine="436"/>
        <w:spacing w:after="0" w:line="339" w:lineRule="auto"/>
        <w:tabs>
          <w:tab w:leader="none" w:pos="1029"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unless otherwise determined by the Board, the value of the Common Stock (as determined on a per share or aggregate basis, as applicable) determined as follows:</w:t>
      </w:r>
    </w:p>
    <w:p>
      <w:pPr>
        <w:spacing w:after="0" w:line="155" w:lineRule="exact"/>
        <w:rPr>
          <w:rFonts w:ascii="Arial" w:cs="Arial" w:eastAsia="Arial" w:hAnsi="Arial"/>
          <w:sz w:val="16"/>
          <w:szCs w:val="16"/>
          <w:b w:val="1"/>
          <w:bCs w:val="1"/>
          <w:color w:val="auto"/>
        </w:rPr>
      </w:pPr>
    </w:p>
    <w:p>
      <w:pPr>
        <w:jc w:val="both"/>
        <w:ind w:left="120" w:right="40" w:firstLine="877"/>
        <w:spacing w:after="0" w:line="319" w:lineRule="auto"/>
        <w:tabs>
          <w:tab w:leader="none" w:pos="1334"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70" w:lineRule="exact"/>
        <w:rPr>
          <w:rFonts w:ascii="Arial" w:cs="Arial" w:eastAsia="Arial" w:hAnsi="Arial"/>
          <w:sz w:val="16"/>
          <w:szCs w:val="16"/>
          <w:b w:val="1"/>
          <w:bCs w:val="1"/>
          <w:color w:val="auto"/>
        </w:rPr>
      </w:pPr>
    </w:p>
    <w:p>
      <w:pPr>
        <w:ind w:left="120" w:right="400" w:firstLine="877"/>
        <w:spacing w:after="0" w:line="339" w:lineRule="auto"/>
        <w:tabs>
          <w:tab w:leader="none" w:pos="1379"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If there is no closing sales price for the Common Stock on the date of determination, then the Fair Market Value will be the closing selling price on the last preceding date for which such quotation exists.</w:t>
      </w:r>
    </w:p>
    <w:p>
      <w:pPr>
        <w:spacing w:after="0" w:line="155" w:lineRule="exact"/>
        <w:rPr>
          <w:rFonts w:ascii="Arial" w:cs="Arial" w:eastAsia="Arial" w:hAnsi="Arial"/>
          <w:sz w:val="16"/>
          <w:szCs w:val="16"/>
          <w:b w:val="1"/>
          <w:bCs w:val="1"/>
          <w:color w:val="auto"/>
        </w:rPr>
      </w:pPr>
    </w:p>
    <w:p>
      <w:pPr>
        <w:ind w:left="120" w:right="700" w:firstLine="877"/>
        <w:spacing w:after="0" w:line="339" w:lineRule="auto"/>
        <w:tabs>
          <w:tab w:leader="none" w:pos="1424" w:val="left"/>
        </w:tabs>
        <w:numPr>
          <w:ilvl w:val="1"/>
          <w:numId w:val="124"/>
        </w:numPr>
        <w:rPr>
          <w:rFonts w:ascii="Arial" w:cs="Arial" w:eastAsia="Arial" w:hAnsi="Arial"/>
          <w:sz w:val="16"/>
          <w:szCs w:val="16"/>
          <w:b w:val="1"/>
          <w:bCs w:val="1"/>
          <w:color w:val="auto"/>
        </w:rPr>
      </w:pPr>
      <w:r>
        <w:rPr>
          <w:rFonts w:ascii="Arial" w:cs="Arial" w:eastAsia="Arial" w:hAnsi="Arial"/>
          <w:sz w:val="16"/>
          <w:szCs w:val="16"/>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5" w:lineRule="exact"/>
        <w:rPr>
          <w:rFonts w:ascii="Arial" w:cs="Arial" w:eastAsia="Arial" w:hAnsi="Arial"/>
          <w:sz w:val="16"/>
          <w:szCs w:val="16"/>
          <w:b w:val="1"/>
          <w:bCs w:val="1"/>
          <w:color w:val="auto"/>
        </w:rPr>
      </w:pPr>
    </w:p>
    <w:p>
      <w:pPr>
        <w:ind w:left="120" w:right="120" w:firstLine="436"/>
        <w:spacing w:after="0" w:line="307" w:lineRule="auto"/>
        <w:tabs>
          <w:tab w:leader="none" w:pos="1046"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7029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A-22</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060"/>
          </w:cols>
          <w:pgMar w:left="320" w:top="455" w:right="51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100" w:firstLine="436"/>
        <w:spacing w:after="0" w:line="319" w:lineRule="auto"/>
        <w:tabs>
          <w:tab w:leader="none" w:pos="1029"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70" w:lineRule="exact"/>
        <w:rPr>
          <w:rFonts w:ascii="Arial" w:cs="Arial" w:eastAsia="Arial" w:hAnsi="Arial"/>
          <w:sz w:val="16"/>
          <w:szCs w:val="16"/>
          <w:b w:val="1"/>
          <w:bCs w:val="1"/>
          <w:color w:val="auto"/>
        </w:rPr>
      </w:pPr>
    </w:p>
    <w:p>
      <w:pPr>
        <w:ind w:left="120" w:right="300" w:firstLine="436"/>
        <w:spacing w:after="0" w:line="339" w:lineRule="auto"/>
        <w:tabs>
          <w:tab w:leader="none" w:pos="956"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 option granted pursuant to Section 4 of the Plan that is intended to be, and qualifies as, an “incentive stock option” within the meaning of Section 422 of the Code.</w:t>
      </w:r>
    </w:p>
    <w:p>
      <w:pPr>
        <w:spacing w:after="0" w:line="155" w:lineRule="exact"/>
        <w:rPr>
          <w:rFonts w:ascii="Arial" w:cs="Arial" w:eastAsia="Arial" w:hAnsi="Arial"/>
          <w:sz w:val="16"/>
          <w:szCs w:val="16"/>
          <w:b w:val="1"/>
          <w:bCs w:val="1"/>
          <w:color w:val="auto"/>
        </w:rPr>
      </w:pPr>
    </w:p>
    <w:p>
      <w:pPr>
        <w:ind w:left="120" w:right="140" w:firstLine="436"/>
        <w:spacing w:after="0" w:line="339" w:lineRule="auto"/>
        <w:tabs>
          <w:tab w:leader="none" w:pos="1046"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 Date</w:t>
      </w:r>
      <w:r>
        <w:rPr>
          <w:rFonts w:ascii="Arial" w:cs="Arial" w:eastAsia="Arial" w:hAnsi="Arial"/>
          <w:sz w:val="16"/>
          <w:szCs w:val="16"/>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55" w:lineRule="exact"/>
        <w:rPr>
          <w:rFonts w:ascii="Arial" w:cs="Arial" w:eastAsia="Arial" w:hAnsi="Arial"/>
          <w:sz w:val="16"/>
          <w:szCs w:val="16"/>
          <w:b w:val="1"/>
          <w:bCs w:val="1"/>
          <w:color w:val="auto"/>
        </w:rPr>
      </w:pPr>
    </w:p>
    <w:p>
      <w:pPr>
        <w:ind w:left="120" w:right="40" w:firstLine="436"/>
        <w:spacing w:after="0" w:line="305" w:lineRule="auto"/>
        <w:tabs>
          <w:tab w:leader="none" w:pos="1046"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1" w:lineRule="exact"/>
        <w:rPr>
          <w:rFonts w:ascii="Arial" w:cs="Arial" w:eastAsia="Arial" w:hAnsi="Arial"/>
          <w:sz w:val="16"/>
          <w:szCs w:val="16"/>
          <w:b w:val="1"/>
          <w:bCs w:val="1"/>
          <w:color w:val="auto"/>
        </w:rPr>
      </w:pPr>
    </w:p>
    <w:p>
      <w:pPr>
        <w:ind w:left="120" w:right="20" w:firstLine="436"/>
        <w:spacing w:after="0" w:line="307" w:lineRule="auto"/>
        <w:tabs>
          <w:tab w:leader="none" w:pos="938"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0" w:lineRule="exact"/>
        <w:rPr>
          <w:rFonts w:ascii="Arial" w:cs="Arial" w:eastAsia="Arial" w:hAnsi="Arial"/>
          <w:sz w:val="16"/>
          <w:szCs w:val="16"/>
          <w:b w:val="1"/>
          <w:bCs w:val="1"/>
          <w:color w:val="auto"/>
        </w:rPr>
      </w:pPr>
    </w:p>
    <w:p>
      <w:pPr>
        <w:ind w:left="120" w:right="200" w:firstLine="436"/>
        <w:spacing w:after="0" w:line="319" w:lineRule="auto"/>
        <w:tabs>
          <w:tab w:leader="none" w:pos="938"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Non-Exempt Award</w:t>
      </w:r>
      <w:r>
        <w:rPr>
          <w:rFonts w:ascii="Arial" w:cs="Arial" w:eastAsia="Arial" w:hAnsi="Arial"/>
          <w:sz w:val="16"/>
          <w:szCs w:val="16"/>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70" w:lineRule="exact"/>
        <w:rPr>
          <w:rFonts w:ascii="Arial" w:cs="Arial" w:eastAsia="Arial" w:hAnsi="Arial"/>
          <w:sz w:val="16"/>
          <w:szCs w:val="16"/>
          <w:b w:val="1"/>
          <w:bCs w:val="1"/>
          <w:color w:val="auto"/>
        </w:rPr>
      </w:pPr>
    </w:p>
    <w:p>
      <w:pPr>
        <w:ind w:left="120" w:right="540" w:firstLine="436"/>
        <w:spacing w:after="0" w:line="339" w:lineRule="auto"/>
        <w:tabs>
          <w:tab w:leader="none" w:pos="1029"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Non-Exempt Director Award</w:t>
      </w:r>
      <w:r>
        <w:rPr>
          <w:rFonts w:ascii="Arial" w:cs="Arial" w:eastAsia="Arial" w:hAnsi="Arial"/>
          <w:sz w:val="16"/>
          <w:szCs w:val="16"/>
          <w:color w:val="auto"/>
        </w:rPr>
        <w:t>” means a Non-Exempt Award granted to a Participant who was a Director but not an Employee on the applicable grant date.</w:t>
      </w:r>
    </w:p>
    <w:p>
      <w:pPr>
        <w:spacing w:after="0" w:line="155" w:lineRule="exact"/>
        <w:rPr>
          <w:rFonts w:ascii="Arial" w:cs="Arial" w:eastAsia="Arial" w:hAnsi="Arial"/>
          <w:sz w:val="16"/>
          <w:szCs w:val="16"/>
          <w:b w:val="1"/>
          <w:bCs w:val="1"/>
          <w:color w:val="auto"/>
        </w:rPr>
      </w:pPr>
    </w:p>
    <w:p>
      <w:pPr>
        <w:ind w:left="120" w:firstLine="436"/>
        <w:spacing w:after="0" w:line="299" w:lineRule="auto"/>
        <w:tabs>
          <w:tab w:leader="none" w:pos="938"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Non-Exempt Severance Arrangement</w:t>
      </w:r>
      <w:r>
        <w:rPr>
          <w:rFonts w:ascii="Arial" w:cs="Arial" w:eastAsia="Arial" w:hAnsi="Arial"/>
          <w:sz w:val="16"/>
          <w:szCs w:val="16"/>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w:t>
      </w:r>
    </w:p>
    <w:p>
      <w:pPr>
        <w:ind w:left="120" w:right="180"/>
        <w:spacing w:after="0" w:line="339" w:lineRule="auto"/>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Separation from Service</w:t>
      </w:r>
      <w:r>
        <w:rPr>
          <w:rFonts w:ascii="Arial" w:cs="Arial" w:eastAsia="Arial" w:hAnsi="Arial"/>
          <w:sz w:val="16"/>
          <w:szCs w:val="16"/>
          <w:color w:val="auto"/>
        </w:rPr>
        <w:t>”) and such severance benefit does not satisfy the requirements for an exemption from application of Section 409A provided under Treasury Regulations Section 1.409A-1(b)(4), 1.409A-1(b)(9) or otherwise.</w:t>
      </w:r>
    </w:p>
    <w:p>
      <w:pPr>
        <w:spacing w:after="0" w:line="155" w:lineRule="exact"/>
        <w:rPr>
          <w:rFonts w:ascii="Arial" w:cs="Arial" w:eastAsia="Arial" w:hAnsi="Arial"/>
          <w:sz w:val="16"/>
          <w:szCs w:val="16"/>
          <w:b w:val="1"/>
          <w:bCs w:val="1"/>
          <w:color w:val="auto"/>
        </w:rPr>
      </w:pPr>
    </w:p>
    <w:p>
      <w:pPr>
        <w:ind w:left="1140" w:hanging="584"/>
        <w:spacing w:after="0"/>
        <w:tabs>
          <w:tab w:leader="none" w:pos="114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4 of the Plan that does not qualify as an Incentive Stock</w:t>
      </w:r>
    </w:p>
    <w:p>
      <w:pPr>
        <w:spacing w:after="0" w:line="45"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color w:val="auto"/>
        </w:rPr>
        <w:t>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7029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A-23</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040" w:hanging="484"/>
        <w:spacing w:after="0"/>
        <w:tabs>
          <w:tab w:leader="none" w:pos="1040"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within the meaning of Section 16 of the Exchange Act.</w:t>
      </w:r>
    </w:p>
    <w:p>
      <w:pPr>
        <w:spacing w:after="0" w:line="261" w:lineRule="exact"/>
        <w:rPr>
          <w:rFonts w:ascii="Arial" w:cs="Arial" w:eastAsia="Arial" w:hAnsi="Arial"/>
          <w:sz w:val="16"/>
          <w:szCs w:val="16"/>
          <w:b w:val="1"/>
          <w:bCs w:val="1"/>
          <w:color w:val="auto"/>
        </w:rPr>
      </w:pPr>
    </w:p>
    <w:p>
      <w:pPr>
        <w:ind w:left="1040" w:hanging="484"/>
        <w:spacing w:after="0"/>
        <w:tabs>
          <w:tab w:leader="none" w:pos="1040" w:val="left"/>
        </w:tabs>
        <w:numPr>
          <w:ilvl w:val="0"/>
          <w:numId w:val="12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w:t>
      </w:r>
    </w:p>
    <w:p>
      <w:pPr>
        <w:spacing w:after="0" w:line="262" w:lineRule="exact"/>
        <w:rPr>
          <w:sz w:val="20"/>
          <w:szCs w:val="20"/>
          <w:color w:val="auto"/>
        </w:rPr>
      </w:pPr>
    </w:p>
    <w:p>
      <w:pPr>
        <w:ind w:left="120" w:firstLine="436"/>
        <w:spacing w:after="0" w:line="312" w:lineRule="auto"/>
        <w:tabs>
          <w:tab w:leader="none" w:pos="1046"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7" w:lineRule="exact"/>
        <w:rPr>
          <w:rFonts w:ascii="Arial" w:cs="Arial" w:eastAsia="Arial" w:hAnsi="Arial"/>
          <w:sz w:val="16"/>
          <w:szCs w:val="16"/>
          <w:b w:val="1"/>
          <w:bCs w:val="1"/>
          <w:color w:val="auto"/>
        </w:rPr>
      </w:pPr>
    </w:p>
    <w:p>
      <w:pPr>
        <w:ind w:left="120" w:right="580" w:firstLine="436"/>
        <w:spacing w:after="0" w:line="339" w:lineRule="auto"/>
        <w:tabs>
          <w:tab w:leader="none" w:pos="1046"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 Option.</w:t>
      </w:r>
    </w:p>
    <w:p>
      <w:pPr>
        <w:spacing w:after="0" w:line="155" w:lineRule="exact"/>
        <w:rPr>
          <w:rFonts w:ascii="Arial" w:cs="Arial" w:eastAsia="Arial" w:hAnsi="Arial"/>
          <w:sz w:val="16"/>
          <w:szCs w:val="16"/>
          <w:b w:val="1"/>
          <w:bCs w:val="1"/>
          <w:color w:val="auto"/>
        </w:rPr>
      </w:pPr>
    </w:p>
    <w:p>
      <w:pPr>
        <w:ind w:left="120" w:right="360" w:firstLine="436"/>
        <w:spacing w:after="0" w:line="339" w:lineRule="auto"/>
        <w:tabs>
          <w:tab w:leader="none" w:pos="975"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w:t>
      </w:r>
      <w:r>
        <w:rPr>
          <w:rFonts w:ascii="Arial" w:cs="Arial" w:eastAsia="Arial" w:hAnsi="Arial"/>
          <w:sz w:val="16"/>
          <w:szCs w:val="16"/>
          <w:color w:val="auto"/>
        </w:rPr>
        <w:t>” means an award based in whole or in part by reference to the Common Stock which is granted pursuant to the terms and conditions of Section 5(c).</w:t>
      </w:r>
    </w:p>
    <w:p>
      <w:pPr>
        <w:spacing w:after="0" w:line="155" w:lineRule="exact"/>
        <w:rPr>
          <w:rFonts w:ascii="Arial" w:cs="Arial" w:eastAsia="Arial" w:hAnsi="Arial"/>
          <w:sz w:val="16"/>
          <w:szCs w:val="16"/>
          <w:b w:val="1"/>
          <w:bCs w:val="1"/>
          <w:color w:val="auto"/>
        </w:rPr>
      </w:pPr>
    </w:p>
    <w:p>
      <w:pPr>
        <w:ind w:left="120" w:right="300" w:firstLine="436"/>
        <w:spacing w:after="0" w:line="339" w:lineRule="auto"/>
        <w:tabs>
          <w:tab w:leader="none" w:pos="1029"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55" w:lineRule="exact"/>
        <w:rPr>
          <w:rFonts w:ascii="Arial" w:cs="Arial" w:eastAsia="Arial" w:hAnsi="Arial"/>
          <w:sz w:val="16"/>
          <w:szCs w:val="16"/>
          <w:b w:val="1"/>
          <w:bCs w:val="1"/>
          <w:color w:val="auto"/>
        </w:rPr>
      </w:pPr>
    </w:p>
    <w:p>
      <w:pPr>
        <w:ind w:left="120" w:right="60" w:firstLine="436"/>
        <w:spacing w:after="0" w:line="319" w:lineRule="auto"/>
        <w:tabs>
          <w:tab w:leader="none" w:pos="956"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Arial" w:cs="Arial" w:eastAsia="Arial" w:hAnsi="Arial"/>
          <w:sz w:val="16"/>
          <w:szCs w:val="16"/>
          <w:b w:val="1"/>
          <w:bCs w:val="1"/>
          <w:color w:val="auto"/>
        </w:rPr>
      </w:pPr>
    </w:p>
    <w:p>
      <w:pPr>
        <w:ind w:left="120" w:right="340" w:firstLine="436"/>
        <w:spacing w:after="0" w:line="339" w:lineRule="auto"/>
        <w:tabs>
          <w:tab w:leader="none" w:pos="1046"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an Employee, Director or Consultant to whom an Award is granted pursuant to the Plan or, if applicable, such other person who holds an outstanding Award.</w:t>
      </w:r>
    </w:p>
    <w:p>
      <w:pPr>
        <w:spacing w:after="0" w:line="155" w:lineRule="exact"/>
        <w:rPr>
          <w:rFonts w:ascii="Arial" w:cs="Arial" w:eastAsia="Arial" w:hAnsi="Arial"/>
          <w:sz w:val="16"/>
          <w:szCs w:val="16"/>
          <w:b w:val="1"/>
          <w:bCs w:val="1"/>
          <w:color w:val="auto"/>
        </w:rPr>
      </w:pPr>
    </w:p>
    <w:p>
      <w:pPr>
        <w:ind w:left="120" w:right="120" w:firstLine="436"/>
        <w:spacing w:after="0" w:line="309" w:lineRule="auto"/>
        <w:tabs>
          <w:tab w:leader="none" w:pos="1029"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79" w:lineRule="exact"/>
        <w:rPr>
          <w:rFonts w:ascii="Arial" w:cs="Arial" w:eastAsia="Arial" w:hAnsi="Arial"/>
          <w:sz w:val="16"/>
          <w:szCs w:val="16"/>
          <w:b w:val="1"/>
          <w:bCs w:val="1"/>
          <w:color w:val="auto"/>
        </w:rPr>
      </w:pPr>
    </w:p>
    <w:p>
      <w:pPr>
        <w:ind w:left="120" w:right="20" w:firstLine="436"/>
        <w:spacing w:after="0" w:line="303" w:lineRule="auto"/>
        <w:tabs>
          <w:tab w:leader="none" w:pos="1100"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7029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A-24</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307" w:lineRule="auto"/>
        <w:rPr>
          <w:sz w:val="20"/>
          <w:szCs w:val="20"/>
          <w:color w:val="auto"/>
        </w:rPr>
      </w:pPr>
      <w:r>
        <w:rPr>
          <w:rFonts w:ascii="Arial" w:cs="Arial" w:eastAsia="Arial" w:hAnsi="Arial"/>
          <w:sz w:val="16"/>
          <w:szCs w:val="16"/>
          <w:color w:val="auto"/>
        </w:rPr>
        <w:t>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81" w:lineRule="exact"/>
        <w:rPr>
          <w:sz w:val="20"/>
          <w:szCs w:val="20"/>
          <w:color w:val="auto"/>
        </w:rPr>
      </w:pPr>
    </w:p>
    <w:p>
      <w:pPr>
        <w:ind w:left="120" w:firstLine="436"/>
        <w:spacing w:after="0" w:line="301" w:lineRule="auto"/>
        <w:tabs>
          <w:tab w:leader="none" w:pos="1029"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200" w:lineRule="exact"/>
        <w:rPr>
          <w:rFonts w:ascii="Arial" w:cs="Arial" w:eastAsia="Arial" w:hAnsi="Arial"/>
          <w:sz w:val="16"/>
          <w:szCs w:val="16"/>
          <w:b w:val="1"/>
          <w:bCs w:val="1"/>
          <w:color w:val="auto"/>
        </w:rPr>
      </w:pPr>
    </w:p>
    <w:p>
      <w:pPr>
        <w:spacing w:after="0" w:line="220" w:lineRule="exact"/>
        <w:rPr>
          <w:rFonts w:ascii="Arial" w:cs="Arial" w:eastAsia="Arial" w:hAnsi="Arial"/>
          <w:sz w:val="16"/>
          <w:szCs w:val="16"/>
          <w:b w:val="1"/>
          <w:bCs w:val="1"/>
          <w:color w:val="auto"/>
        </w:rPr>
      </w:pPr>
    </w:p>
    <w:p>
      <w:pPr>
        <w:jc w:val="both"/>
        <w:ind w:left="120" w:right="40" w:firstLine="436"/>
        <w:spacing w:after="0" w:line="319" w:lineRule="auto"/>
        <w:tabs>
          <w:tab w:leader="none" w:pos="1029"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70" w:lineRule="exact"/>
        <w:rPr>
          <w:rFonts w:ascii="Arial" w:cs="Arial" w:eastAsia="Arial" w:hAnsi="Arial"/>
          <w:sz w:val="16"/>
          <w:szCs w:val="16"/>
          <w:b w:val="1"/>
          <w:bCs w:val="1"/>
          <w:color w:val="auto"/>
        </w:rPr>
      </w:pPr>
    </w:p>
    <w:p>
      <w:pPr>
        <w:ind w:left="1000" w:hanging="444"/>
        <w:spacing w:after="0"/>
        <w:tabs>
          <w:tab w:leader="none" w:pos="100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NerdWallet, Inc. 2021 Equity Incentive Plan, as amended from time to time.</w:t>
      </w:r>
    </w:p>
    <w:p>
      <w:pPr>
        <w:spacing w:after="0" w:line="262" w:lineRule="exact"/>
        <w:rPr>
          <w:sz w:val="20"/>
          <w:szCs w:val="20"/>
          <w:color w:val="auto"/>
        </w:rPr>
      </w:pPr>
    </w:p>
    <w:p>
      <w:pPr>
        <w:ind w:left="120" w:right="40" w:firstLine="436"/>
        <w:spacing w:after="0" w:line="339" w:lineRule="auto"/>
        <w:tabs>
          <w:tab w:leader="none" w:pos="1119"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Administrator</w:t>
      </w:r>
      <w:r>
        <w:rPr>
          <w:rFonts w:ascii="Arial" w:cs="Arial" w:eastAsia="Arial" w:hAnsi="Arial"/>
          <w:sz w:val="16"/>
          <w:szCs w:val="16"/>
          <w:color w:val="auto"/>
        </w:rPr>
        <w:t>” means the person, persons, and/or third-party administrator designated by the Company to administer the day to day operations of the Plan and the Company’s other equity incentive programs.</w:t>
      </w:r>
    </w:p>
    <w:p>
      <w:pPr>
        <w:spacing w:after="0" w:line="155" w:lineRule="exact"/>
        <w:rPr>
          <w:rFonts w:ascii="Arial" w:cs="Arial" w:eastAsia="Arial" w:hAnsi="Arial"/>
          <w:sz w:val="16"/>
          <w:szCs w:val="16"/>
          <w:b w:val="1"/>
          <w:bCs w:val="1"/>
          <w:color w:val="auto"/>
        </w:rPr>
      </w:pPr>
    </w:p>
    <w:p>
      <w:pPr>
        <w:ind w:left="120" w:right="120" w:firstLine="436"/>
        <w:spacing w:after="0" w:line="339" w:lineRule="auto"/>
        <w:tabs>
          <w:tab w:leader="none" w:pos="1145" w:val="left"/>
        </w:tabs>
        <w:numPr>
          <w:ilvl w:val="0"/>
          <w:numId w:val="1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Post-Termination Exercise Period</w:t>
      </w:r>
      <w:r>
        <w:rPr>
          <w:rFonts w:ascii="Arial" w:cs="Arial" w:eastAsia="Arial" w:hAnsi="Arial"/>
          <w:sz w:val="16"/>
          <w:szCs w:val="16"/>
          <w:color w:val="auto"/>
        </w:rPr>
        <w:t>” means the period following termination of a Participant’s Continuous Service within which an Option or SAR is exercisable, as specified in Section 4(h).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A-25</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ind w:left="1120" w:hanging="564"/>
        <w:spacing w:after="0"/>
        <w:tabs>
          <w:tab w:leader="none" w:pos="112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NerdWallet, Inc. 2012 Equity Incentive Plan.</w:t>
      </w:r>
    </w:p>
    <w:p>
      <w:pPr>
        <w:spacing w:after="0" w:line="261" w:lineRule="exact"/>
        <w:rPr>
          <w:rFonts w:ascii="Arial" w:cs="Arial" w:eastAsia="Arial" w:hAnsi="Arial"/>
          <w:sz w:val="16"/>
          <w:szCs w:val="16"/>
          <w:b w:val="1"/>
          <w:bCs w:val="1"/>
          <w:color w:val="auto"/>
        </w:rPr>
      </w:pPr>
    </w:p>
    <w:p>
      <w:pPr>
        <w:ind w:left="1140" w:hanging="584"/>
        <w:spacing w:after="0"/>
        <w:tabs>
          <w:tab w:leader="none" w:pos="114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means the document containing the Plan information specified in Section 10(a) of the Securities Act.</w:t>
      </w:r>
    </w:p>
    <w:p>
      <w:pPr>
        <w:spacing w:after="0" w:line="261" w:lineRule="exact"/>
        <w:rPr>
          <w:rFonts w:ascii="Arial" w:cs="Arial" w:eastAsia="Arial" w:hAnsi="Arial"/>
          <w:sz w:val="16"/>
          <w:szCs w:val="16"/>
          <w:b w:val="1"/>
          <w:bCs w:val="1"/>
          <w:color w:val="auto"/>
        </w:rPr>
      </w:pPr>
    </w:p>
    <w:p>
      <w:pPr>
        <w:ind w:left="1120" w:hanging="564"/>
        <w:spacing w:after="0"/>
        <w:tabs>
          <w:tab w:leader="none" w:pos="112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RSA</w:t>
      </w:r>
      <w:r>
        <w:rPr>
          <w:rFonts w:ascii="Arial" w:cs="Arial" w:eastAsia="Arial" w:hAnsi="Arial"/>
          <w:sz w:val="16"/>
          <w:szCs w:val="16"/>
          <w:color w:val="auto"/>
        </w:rPr>
        <w:t>” means an Award of shares of Common Stock which is granted pursuant to the terms and conditions of</w:t>
      </w:r>
    </w:p>
    <w:p>
      <w:pPr>
        <w:spacing w:after="0" w:line="45"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color w:val="auto"/>
        </w:rPr>
        <w:t>Section 5(a).</w:t>
      </w:r>
    </w:p>
    <w:p>
      <w:pPr>
        <w:spacing w:after="0" w:line="261" w:lineRule="exact"/>
        <w:rPr>
          <w:rFonts w:ascii="Arial" w:cs="Arial" w:eastAsia="Arial" w:hAnsi="Arial"/>
          <w:sz w:val="16"/>
          <w:szCs w:val="16"/>
          <w:b w:val="1"/>
          <w:bCs w:val="1"/>
          <w:color w:val="auto"/>
        </w:rPr>
      </w:pPr>
    </w:p>
    <w:p>
      <w:pPr>
        <w:jc w:val="both"/>
        <w:ind w:left="120" w:right="80" w:firstLine="436"/>
        <w:spacing w:after="0" w:line="309" w:lineRule="auto"/>
        <w:tabs>
          <w:tab w:leader="none" w:pos="101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9" w:lineRule="exact"/>
        <w:rPr>
          <w:rFonts w:ascii="Arial" w:cs="Arial" w:eastAsia="Arial" w:hAnsi="Arial"/>
          <w:sz w:val="16"/>
          <w:szCs w:val="16"/>
          <w:b w:val="1"/>
          <w:bCs w:val="1"/>
          <w:color w:val="auto"/>
        </w:rPr>
      </w:pPr>
    </w:p>
    <w:p>
      <w:pPr>
        <w:ind w:left="1140" w:hanging="584"/>
        <w:spacing w:after="0"/>
        <w:tabs>
          <w:tab w:leader="none" w:pos="1140"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Returning Shares</w:t>
      </w:r>
      <w:r>
        <w:rPr>
          <w:rFonts w:ascii="Arial" w:cs="Arial" w:eastAsia="Arial" w:hAnsi="Arial"/>
          <w:sz w:val="16"/>
          <w:szCs w:val="16"/>
          <w:color w:val="auto"/>
        </w:rPr>
        <w:t>” means shares subject to outstanding stock awards granted under the Prior Plan and that following the Effective</w:t>
      </w:r>
    </w:p>
    <w:p>
      <w:pPr>
        <w:spacing w:after="0" w:line="46" w:lineRule="exact"/>
        <w:rPr>
          <w:sz w:val="20"/>
          <w:szCs w:val="20"/>
          <w:color w:val="auto"/>
        </w:rPr>
      </w:pPr>
    </w:p>
    <w:p>
      <w:pPr>
        <w:jc w:val="both"/>
        <w:ind w:left="120"/>
        <w:spacing w:after="0" w:line="312" w:lineRule="auto"/>
        <w:rPr>
          <w:sz w:val="20"/>
          <w:szCs w:val="20"/>
          <w:color w:val="auto"/>
        </w:rPr>
      </w:pPr>
      <w:r>
        <w:rPr>
          <w:rFonts w:ascii="Arial" w:cs="Arial" w:eastAsia="Arial" w:hAnsi="Arial"/>
          <w:sz w:val="16"/>
          <w:szCs w:val="16"/>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77" w:lineRule="exact"/>
        <w:rPr>
          <w:sz w:val="20"/>
          <w:szCs w:val="20"/>
          <w:color w:val="auto"/>
        </w:rPr>
      </w:pPr>
    </w:p>
    <w:p>
      <w:pPr>
        <w:ind w:left="120" w:right="60" w:firstLine="436"/>
        <w:spacing w:after="0" w:line="339" w:lineRule="auto"/>
        <w:tabs>
          <w:tab w:leader="none" w:pos="1145"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 Award</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RSU</w:t>
      </w:r>
      <w:r>
        <w:rPr>
          <w:rFonts w:ascii="Arial" w:cs="Arial" w:eastAsia="Arial" w:hAnsi="Arial"/>
          <w:sz w:val="16"/>
          <w:szCs w:val="16"/>
          <w:color w:val="auto"/>
        </w:rPr>
        <w:t>” means an Award of restricted stock units representing the right to receive an issuance of shares of Common Stock which is granted pursuant to the terms and conditions of Section 5(a).</w:t>
      </w:r>
    </w:p>
    <w:p>
      <w:pPr>
        <w:spacing w:after="0" w:line="155" w:lineRule="exact"/>
        <w:rPr>
          <w:rFonts w:ascii="Arial" w:cs="Arial" w:eastAsia="Arial" w:hAnsi="Arial"/>
          <w:sz w:val="16"/>
          <w:szCs w:val="16"/>
          <w:b w:val="1"/>
          <w:bCs w:val="1"/>
          <w:color w:val="auto"/>
        </w:rPr>
      </w:pPr>
    </w:p>
    <w:p>
      <w:pPr>
        <w:ind w:left="120" w:right="80" w:firstLine="436"/>
        <w:spacing w:after="0" w:line="312" w:lineRule="auto"/>
        <w:tabs>
          <w:tab w:leader="none" w:pos="983"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 Award Agreement</w:t>
      </w:r>
      <w:r>
        <w:rPr>
          <w:rFonts w:ascii="Arial" w:cs="Arial" w:eastAsia="Arial" w:hAnsi="Arial"/>
          <w:sz w:val="16"/>
          <w:szCs w:val="16"/>
          <w:color w:val="auto"/>
        </w:rPr>
        <w:t>” means a written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77" w:lineRule="exact"/>
        <w:rPr>
          <w:rFonts w:ascii="Arial" w:cs="Arial" w:eastAsia="Arial" w:hAnsi="Arial"/>
          <w:sz w:val="16"/>
          <w:szCs w:val="16"/>
          <w:b w:val="1"/>
          <w:bCs w:val="1"/>
          <w:color w:val="auto"/>
        </w:rPr>
      </w:pPr>
    </w:p>
    <w:p>
      <w:pPr>
        <w:ind w:left="980" w:hanging="424"/>
        <w:spacing w:after="0"/>
        <w:tabs>
          <w:tab w:leader="none" w:pos="98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61" w:lineRule="exact"/>
        <w:rPr>
          <w:rFonts w:ascii="Arial" w:cs="Arial" w:eastAsia="Arial" w:hAnsi="Arial"/>
          <w:sz w:val="16"/>
          <w:szCs w:val="16"/>
          <w:b w:val="1"/>
          <w:bCs w:val="1"/>
          <w:color w:val="auto"/>
        </w:rPr>
      </w:pPr>
    </w:p>
    <w:p>
      <w:pPr>
        <w:ind w:left="1120" w:hanging="564"/>
        <w:spacing w:after="0"/>
        <w:tabs>
          <w:tab w:leader="none" w:pos="112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405</w:t>
      </w:r>
      <w:r>
        <w:rPr>
          <w:rFonts w:ascii="Arial" w:cs="Arial" w:eastAsia="Arial" w:hAnsi="Arial"/>
          <w:sz w:val="16"/>
          <w:szCs w:val="16"/>
          <w:color w:val="auto"/>
        </w:rPr>
        <w:t>” means Rule 405 promulgated under the Securities Act.</w:t>
      </w:r>
    </w:p>
    <w:p>
      <w:pPr>
        <w:spacing w:after="0" w:line="261" w:lineRule="exact"/>
        <w:rPr>
          <w:rFonts w:ascii="Arial" w:cs="Arial" w:eastAsia="Arial" w:hAnsi="Arial"/>
          <w:sz w:val="16"/>
          <w:szCs w:val="16"/>
          <w:b w:val="1"/>
          <w:bCs w:val="1"/>
          <w:color w:val="auto"/>
        </w:rPr>
      </w:pPr>
    </w:p>
    <w:p>
      <w:pPr>
        <w:ind w:left="980" w:hanging="424"/>
        <w:spacing w:after="0"/>
        <w:tabs>
          <w:tab w:leader="none" w:pos="98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regulations and other guidance thereunder.</w:t>
      </w:r>
    </w:p>
    <w:p>
      <w:pPr>
        <w:spacing w:after="0" w:line="261" w:lineRule="exact"/>
        <w:rPr>
          <w:rFonts w:ascii="Arial" w:cs="Arial" w:eastAsia="Arial" w:hAnsi="Arial"/>
          <w:sz w:val="16"/>
          <w:szCs w:val="16"/>
          <w:b w:val="1"/>
          <w:bCs w:val="1"/>
          <w:color w:val="auto"/>
        </w:rPr>
      </w:pPr>
    </w:p>
    <w:p>
      <w:pPr>
        <w:ind w:left="120" w:right="480" w:firstLine="436"/>
        <w:spacing w:after="0" w:line="319" w:lineRule="auto"/>
        <w:tabs>
          <w:tab w:leader="none" w:pos="1281"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 Change in Control</w:t>
      </w:r>
      <w:r>
        <w:rPr>
          <w:rFonts w:ascii="Arial" w:cs="Arial" w:eastAsia="Arial" w:hAnsi="Arial"/>
          <w:sz w:val="16"/>
          <w:szCs w:val="16"/>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70" w:lineRule="exact"/>
        <w:rPr>
          <w:rFonts w:ascii="Arial" w:cs="Arial" w:eastAsia="Arial" w:hAnsi="Arial"/>
          <w:sz w:val="16"/>
          <w:szCs w:val="16"/>
          <w:b w:val="1"/>
          <w:bCs w:val="1"/>
          <w:color w:val="auto"/>
        </w:rPr>
      </w:pPr>
    </w:p>
    <w:p>
      <w:pPr>
        <w:ind w:left="1140" w:hanging="584"/>
        <w:spacing w:after="0"/>
        <w:tabs>
          <w:tab w:leader="none" w:pos="114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61" w:lineRule="exact"/>
        <w:rPr>
          <w:rFonts w:ascii="Arial" w:cs="Arial" w:eastAsia="Arial" w:hAnsi="Arial"/>
          <w:sz w:val="16"/>
          <w:szCs w:val="16"/>
          <w:b w:val="1"/>
          <w:bCs w:val="1"/>
          <w:color w:val="auto"/>
        </w:rPr>
      </w:pPr>
    </w:p>
    <w:p>
      <w:pPr>
        <w:ind w:left="1140" w:hanging="584"/>
        <w:spacing w:after="0"/>
        <w:tabs>
          <w:tab w:leader="none" w:pos="1140"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 means the number of shares available for issuance under the Plan as set forth in Section 2(a).</w:t>
      </w:r>
    </w:p>
    <w:p>
      <w:pPr>
        <w:spacing w:after="0" w:line="261" w:lineRule="exact"/>
        <w:rPr>
          <w:rFonts w:ascii="Arial" w:cs="Arial" w:eastAsia="Arial" w:hAnsi="Arial"/>
          <w:sz w:val="16"/>
          <w:szCs w:val="16"/>
          <w:b w:val="1"/>
          <w:bCs w:val="1"/>
          <w:color w:val="auto"/>
        </w:rPr>
      </w:pPr>
    </w:p>
    <w:p>
      <w:pPr>
        <w:ind w:left="120" w:right="260" w:firstLine="436"/>
        <w:spacing w:after="0" w:line="339" w:lineRule="auto"/>
        <w:tabs>
          <w:tab w:leader="none" w:pos="1145" w:val="left"/>
        </w:tabs>
        <w:numPr>
          <w:ilvl w:val="0"/>
          <w:numId w:val="1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right to receive the appreciation on Common Stock that is granted pursuant to the terms and conditions of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6"/>
          <w:szCs w:val="16"/>
          <w:b w:val="1"/>
          <w:bCs w:val="1"/>
          <w:color w:val="auto"/>
        </w:rPr>
        <w:t>A-26</w:t>
      </w:r>
      <w:r>
        <w:rPr>
          <w:sz w:val="20"/>
          <w:szCs w:val="20"/>
          <w:color w:val="auto"/>
        </w:rPr>
        <w:tab/>
      </w:r>
      <w:r>
        <w:rPr>
          <w:rFonts w:ascii="Arial" w:cs="Arial" w:eastAsia="Arial" w:hAnsi="Arial"/>
          <w:sz w:val="16"/>
          <w:szCs w:val="16"/>
          <w:color w:val="auto"/>
        </w:rPr>
        <w:t>PROXY STATEMENT 2022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27" w:lineRule="exact"/>
        <w:rPr>
          <w:sz w:val="20"/>
          <w:szCs w:val="20"/>
          <w:color w:val="auto"/>
        </w:rPr>
      </w:pPr>
    </w:p>
    <w:p>
      <w:pPr>
        <w:jc w:val="both"/>
        <w:ind w:left="120" w:firstLine="436"/>
        <w:spacing w:after="0" w:line="312" w:lineRule="auto"/>
        <w:tabs>
          <w:tab w:leader="none" w:pos="1145"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SAR Agreement</w:t>
      </w:r>
      <w:r>
        <w:rPr>
          <w:rFonts w:ascii="Arial" w:cs="Arial" w:eastAsia="Arial" w:hAnsi="Arial"/>
          <w:sz w:val="16"/>
          <w:szCs w:val="16"/>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7" w:lineRule="exact"/>
        <w:rPr>
          <w:rFonts w:ascii="Arial" w:cs="Arial" w:eastAsia="Arial" w:hAnsi="Arial"/>
          <w:sz w:val="16"/>
          <w:szCs w:val="16"/>
          <w:b w:val="1"/>
          <w:bCs w:val="1"/>
          <w:color w:val="auto"/>
        </w:rPr>
      </w:pPr>
    </w:p>
    <w:p>
      <w:pPr>
        <w:ind w:left="120" w:firstLine="436"/>
        <w:spacing w:after="0" w:line="309" w:lineRule="auto"/>
        <w:tabs>
          <w:tab w:leader="none" w:pos="1038"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Arial" w:cs="Arial" w:eastAsia="Arial" w:hAnsi="Arial"/>
          <w:sz w:val="16"/>
          <w:szCs w:val="16"/>
          <w:b w:val="1"/>
          <w:bCs w:val="1"/>
          <w:color w:val="auto"/>
        </w:rPr>
      </w:pPr>
    </w:p>
    <w:p>
      <w:pPr>
        <w:ind w:left="120" w:right="220" w:firstLine="436"/>
        <w:spacing w:after="0" w:line="339" w:lineRule="auto"/>
        <w:tabs>
          <w:tab w:leader="none" w:pos="1119"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10% of the total combined voting power of all classes of stock of the Company or any Affiliate.</w:t>
      </w:r>
    </w:p>
    <w:p>
      <w:pPr>
        <w:spacing w:after="0" w:line="155" w:lineRule="exact"/>
        <w:rPr>
          <w:rFonts w:ascii="Arial" w:cs="Arial" w:eastAsia="Arial" w:hAnsi="Arial"/>
          <w:sz w:val="16"/>
          <w:szCs w:val="16"/>
          <w:b w:val="1"/>
          <w:bCs w:val="1"/>
          <w:color w:val="auto"/>
        </w:rPr>
      </w:pPr>
    </w:p>
    <w:p>
      <w:pPr>
        <w:ind w:left="120" w:right="320" w:firstLine="436"/>
        <w:spacing w:after="0" w:line="339" w:lineRule="auto"/>
        <w:tabs>
          <w:tab w:leader="none" w:pos="1010"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5" w:lineRule="exact"/>
        <w:rPr>
          <w:rFonts w:ascii="Arial" w:cs="Arial" w:eastAsia="Arial" w:hAnsi="Arial"/>
          <w:sz w:val="16"/>
          <w:szCs w:val="16"/>
          <w:b w:val="1"/>
          <w:bCs w:val="1"/>
          <w:color w:val="auto"/>
        </w:rPr>
      </w:pPr>
    </w:p>
    <w:p>
      <w:pPr>
        <w:ind w:left="120" w:right="260" w:firstLine="436"/>
        <w:spacing w:after="0" w:line="339" w:lineRule="auto"/>
        <w:tabs>
          <w:tab w:leader="none" w:pos="1145"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Unvested Non-Exempt Award</w:t>
      </w:r>
      <w:r>
        <w:rPr>
          <w:rFonts w:ascii="Arial" w:cs="Arial" w:eastAsia="Arial" w:hAnsi="Arial"/>
          <w:sz w:val="16"/>
          <w:szCs w:val="16"/>
          <w:color w:val="auto"/>
        </w:rPr>
        <w:t>” means the portion of any Non-Exempt Award that had not vested in accordance with its terms upon or prior to the date of any Corporate Transaction.</w:t>
      </w:r>
    </w:p>
    <w:p>
      <w:pPr>
        <w:spacing w:after="0" w:line="155" w:lineRule="exact"/>
        <w:rPr>
          <w:rFonts w:ascii="Arial" w:cs="Arial" w:eastAsia="Arial" w:hAnsi="Arial"/>
          <w:sz w:val="16"/>
          <w:szCs w:val="16"/>
          <w:b w:val="1"/>
          <w:bCs w:val="1"/>
          <w:color w:val="auto"/>
        </w:rPr>
      </w:pPr>
    </w:p>
    <w:p>
      <w:pPr>
        <w:ind w:left="120" w:right="220" w:firstLine="436"/>
        <w:spacing w:after="0" w:line="339" w:lineRule="auto"/>
        <w:tabs>
          <w:tab w:leader="none" w:pos="1119"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Non-Exempt Award</w:t>
      </w:r>
      <w:r>
        <w:rPr>
          <w:rFonts w:ascii="Arial" w:cs="Arial" w:eastAsia="Arial" w:hAnsi="Arial"/>
          <w:sz w:val="16"/>
          <w:szCs w:val="16"/>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7029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A-27</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542290</wp:posOffset>
            </wp:positionV>
            <wp:extent cx="1517015" cy="2660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1701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040"/>
        <w:spacing w:after="0"/>
        <w:rPr>
          <w:sz w:val="20"/>
          <w:szCs w:val="20"/>
          <w:color w:val="auto"/>
        </w:rPr>
      </w:pPr>
      <w:r>
        <w:rPr>
          <w:rFonts w:ascii="Arial" w:cs="Arial" w:eastAsia="Arial" w:hAnsi="Arial"/>
          <w:sz w:val="11"/>
          <w:szCs w:val="11"/>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-635635</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-581660</wp:posOffset>
            </wp:positionH>
            <wp:positionV relativeFrom="paragraph">
              <wp:posOffset>40640</wp:posOffset>
            </wp:positionV>
            <wp:extent cx="3206115" cy="20313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06115" cy="2031365"/>
                    </a:xfrm>
                    <a:prstGeom prst="rect">
                      <a:avLst/>
                    </a:prstGeom>
                    <a:noFill/>
                  </pic:spPr>
                </pic:pic>
              </a:graphicData>
            </a:graphic>
          </wp:anchor>
        </w:drawing>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INTERNET</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www.proxypush.com/NRDS</w:t>
      </w:r>
    </w:p>
    <w:p>
      <w:pPr>
        <w:spacing w:after="0" w:line="1" w:lineRule="exact"/>
        <w:rPr>
          <w:sz w:val="20"/>
          <w:szCs w:val="20"/>
          <w:color w:val="auto"/>
        </w:rPr>
      </w:pPr>
    </w:p>
    <w:p>
      <w:pPr>
        <w:ind w:left="400" w:hanging="230"/>
        <w:spacing w:after="0"/>
        <w:tabs>
          <w:tab w:leader="none" w:pos="4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Cast your vote online</w:t>
      </w:r>
    </w:p>
    <w:p>
      <w:pPr>
        <w:spacing w:after="0" w:line="1" w:lineRule="exact"/>
        <w:rPr>
          <w:rFonts w:ascii="Arial" w:cs="Arial" w:eastAsia="Arial" w:hAnsi="Arial"/>
          <w:sz w:val="14"/>
          <w:szCs w:val="14"/>
          <w:color w:val="auto"/>
        </w:rPr>
      </w:pPr>
    </w:p>
    <w:p>
      <w:pPr>
        <w:ind w:left="400" w:hanging="230"/>
        <w:spacing w:after="0"/>
        <w:tabs>
          <w:tab w:leader="none" w:pos="400" w:val="left"/>
        </w:tabs>
        <w:numPr>
          <w:ilvl w:val="0"/>
          <w:numId w:val="133"/>
        </w:numPr>
        <w:rPr>
          <w:rFonts w:ascii="Arial" w:cs="Arial" w:eastAsia="Arial" w:hAnsi="Arial"/>
          <w:sz w:val="14"/>
          <w:szCs w:val="14"/>
          <w:b w:val="1"/>
          <w:bCs w:val="1"/>
          <w:color w:val="auto"/>
        </w:rPr>
      </w:pPr>
      <w:r>
        <w:rPr>
          <w:rFonts w:ascii="Arial" w:cs="Arial" w:eastAsia="Arial" w:hAnsi="Arial"/>
          <w:sz w:val="14"/>
          <w:szCs w:val="14"/>
          <w:b w:val="1"/>
          <w:bCs w:val="1"/>
          <w:color w:val="auto"/>
        </w:rPr>
        <w:t>Have your Proxy Card ready</w:t>
      </w:r>
    </w:p>
    <w:p>
      <w:pPr>
        <w:spacing w:after="0" w:line="1" w:lineRule="exact"/>
        <w:rPr>
          <w:rFonts w:ascii="Arial" w:cs="Arial" w:eastAsia="Arial" w:hAnsi="Arial"/>
          <w:sz w:val="14"/>
          <w:szCs w:val="14"/>
          <w:b w:val="1"/>
          <w:bCs w:val="1"/>
          <w:color w:val="auto"/>
        </w:rPr>
      </w:pPr>
    </w:p>
    <w:p>
      <w:pPr>
        <w:ind w:left="400" w:hanging="230"/>
        <w:spacing w:after="0"/>
        <w:tabs>
          <w:tab w:leader="none" w:pos="4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Follow the simple instructions to record your vote</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1-855-667-0876</w:t>
      </w:r>
    </w:p>
    <w:p>
      <w:pPr>
        <w:spacing w:after="0" w:line="24" w:lineRule="exact"/>
        <w:rPr>
          <w:sz w:val="20"/>
          <w:szCs w:val="20"/>
          <w:color w:val="auto"/>
        </w:rPr>
      </w:pPr>
    </w:p>
    <w:p>
      <w:pPr>
        <w:ind w:left="400" w:hanging="230"/>
        <w:spacing w:after="0"/>
        <w:tabs>
          <w:tab w:leader="none" w:pos="4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Use any touch-tone telephone</w:t>
      </w:r>
    </w:p>
    <w:p>
      <w:pPr>
        <w:spacing w:after="0" w:line="1" w:lineRule="exact"/>
        <w:rPr>
          <w:rFonts w:ascii="Arial" w:cs="Arial" w:eastAsia="Arial" w:hAnsi="Arial"/>
          <w:sz w:val="14"/>
          <w:szCs w:val="14"/>
          <w:color w:val="auto"/>
        </w:rPr>
      </w:pPr>
    </w:p>
    <w:p>
      <w:pPr>
        <w:ind w:left="400" w:hanging="230"/>
        <w:spacing w:after="0"/>
        <w:tabs>
          <w:tab w:leader="none" w:pos="400"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Have your Proxy Card ready</w:t>
      </w:r>
    </w:p>
    <w:p>
      <w:pPr>
        <w:spacing w:after="0" w:line="1" w:lineRule="exact"/>
        <w:rPr>
          <w:rFonts w:ascii="Arial" w:cs="Arial" w:eastAsia="Arial" w:hAnsi="Arial"/>
          <w:sz w:val="14"/>
          <w:szCs w:val="14"/>
          <w:b w:val="1"/>
          <w:bCs w:val="1"/>
          <w:color w:val="auto"/>
        </w:rPr>
      </w:pPr>
    </w:p>
    <w:p>
      <w:pPr>
        <w:ind w:left="400" w:hanging="230"/>
        <w:spacing w:after="0"/>
        <w:tabs>
          <w:tab w:leader="none" w:pos="4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Follow the simple recorded instructions</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MAIL</w:t>
      </w:r>
    </w:p>
    <w:p>
      <w:pPr>
        <w:spacing w:after="0" w:line="24" w:lineRule="exact"/>
        <w:rPr>
          <w:sz w:val="20"/>
          <w:szCs w:val="20"/>
          <w:color w:val="auto"/>
        </w:rPr>
      </w:pPr>
    </w:p>
    <w:p>
      <w:pPr>
        <w:ind w:left="400" w:hanging="230"/>
        <w:spacing w:after="0"/>
        <w:tabs>
          <w:tab w:leader="none" w:pos="4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Mark, sign and date your Proxy Card</w:t>
      </w:r>
    </w:p>
    <w:p>
      <w:pPr>
        <w:spacing w:after="0" w:line="1" w:lineRule="exact"/>
        <w:rPr>
          <w:rFonts w:ascii="Arial" w:cs="Arial" w:eastAsia="Arial" w:hAnsi="Arial"/>
          <w:sz w:val="14"/>
          <w:szCs w:val="14"/>
          <w:color w:val="auto"/>
        </w:rPr>
      </w:pPr>
    </w:p>
    <w:p>
      <w:pPr>
        <w:ind w:left="380" w:right="340" w:hanging="210"/>
        <w:spacing w:after="0" w:line="264" w:lineRule="auto"/>
        <w:tabs>
          <w:tab w:leader="none" w:pos="387" w:val="left"/>
        </w:tabs>
        <w:numPr>
          <w:ilvl w:val="0"/>
          <w:numId w:val="135"/>
        </w:numPr>
        <w:rPr>
          <w:rFonts w:ascii="Arial" w:cs="Arial" w:eastAsia="Arial" w:hAnsi="Arial"/>
          <w:sz w:val="14"/>
          <w:szCs w:val="14"/>
          <w:color w:val="auto"/>
        </w:rPr>
      </w:pPr>
      <w:r>
        <w:rPr>
          <w:rFonts w:ascii="Arial" w:cs="Arial" w:eastAsia="Arial" w:hAnsi="Arial"/>
          <w:sz w:val="14"/>
          <w:szCs w:val="14"/>
          <w:color w:val="auto"/>
        </w:rPr>
        <w:t>Fold and return your Proxy Card in the postage-paid envelope provided</w:t>
      </w:r>
    </w:p>
    <w:p>
      <w:pPr>
        <w:spacing w:after="0" w:line="145" w:lineRule="exact"/>
        <w:rPr>
          <w:sz w:val="20"/>
          <w:szCs w:val="20"/>
          <w:color w:val="auto"/>
        </w:rPr>
      </w:pPr>
    </w:p>
    <w:p>
      <w:pPr>
        <w:ind w:left="160" w:right="520"/>
        <w:spacing w:after="0" w:line="285" w:lineRule="auto"/>
        <w:rPr>
          <w:sz w:val="20"/>
          <w:szCs w:val="20"/>
          <w:color w:val="auto"/>
        </w:rPr>
      </w:pPr>
      <w:r>
        <w:rPr>
          <w:rFonts w:ascii="Arial" w:cs="Arial" w:eastAsia="Arial" w:hAnsi="Arial"/>
          <w:sz w:val="14"/>
          <w:szCs w:val="14"/>
          <w:color w:val="auto"/>
        </w:rPr>
        <w:t>You must register to attend the meeting online and/or participate at www.proxydocs.com/NRDS</w:t>
      </w:r>
    </w:p>
    <w:p>
      <w:pPr>
        <w:spacing w:after="0" w:line="200" w:lineRule="exact"/>
        <w:rPr>
          <w:sz w:val="20"/>
          <w:szCs w:val="20"/>
          <w:color w:val="auto"/>
        </w:rPr>
      </w:pPr>
    </w:p>
    <w:p>
      <w:pPr>
        <w:sectPr>
          <w:pgSz w:w="11900" w:h="16838" w:orient="portrait"/>
          <w:cols w:equalWidth="0" w:num="2">
            <w:col w:w="6280" w:space="720"/>
            <w:col w:w="4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NerdWallet,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-209550</wp:posOffset>
            </wp:positionV>
            <wp:extent cx="1268730" cy="2743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68730" cy="27432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of Stockholders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Stockholders of record as of March 31, 2022</w:t>
      </w:r>
    </w:p>
    <w:p>
      <w:pPr>
        <w:spacing w:after="0" w:line="200" w:lineRule="exact"/>
        <w:rPr>
          <w:sz w:val="20"/>
          <w:szCs w:val="20"/>
          <w:color w:val="auto"/>
        </w:rPr>
      </w:pPr>
    </w:p>
    <w:p>
      <w:pPr>
        <w:spacing w:after="0" w:line="305"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Wednesday, May 25, 2022 10:00 AM, Pacific Time</w:t>
      </w:r>
    </w:p>
    <w:p>
      <w:pPr>
        <w:spacing w:after="0" w:line="2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Annual Meeting to be held live via the Internet - please visit</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www.proxydocs.com/NRDSfor more details.</w:t>
      </w: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86" w:lineRule="exact"/>
        <w:rPr>
          <w:sz w:val="20"/>
          <w:szCs w:val="20"/>
          <w:color w:val="auto"/>
        </w:rPr>
      </w:pPr>
    </w:p>
    <w:p>
      <w:pPr>
        <w:ind w:left="120" w:right="60"/>
        <w:spacing w:after="0" w:line="250" w:lineRule="auto"/>
        <w:rPr>
          <w:sz w:val="20"/>
          <w:szCs w:val="20"/>
          <w:color w:val="auto"/>
        </w:rPr>
      </w:pPr>
      <w:r>
        <w:rPr>
          <w:rFonts w:ascii="Arial" w:cs="Arial" w:eastAsia="Arial" w:hAnsi="Arial"/>
          <w:sz w:val="14"/>
          <w:szCs w:val="14"/>
          <w:color w:val="auto"/>
        </w:rPr>
        <w:t>The undersigned hereby appoints Ekumene Lysonge and Lauren StClair (the “Named Proxies”), and each or either of them, as the true and lawful attorneys of the undersigned, with full power of substitution and revocation, and authorizes them, and each of them, to vote all the shares of capital stock of NerdWallet, Inc. which the undersigned is entitled to vote at said meeting and any postponement, continuation or adjournment thereof upon the matters specified and upon such other matters as may be properly brought before the meeting or any postponement, continuation or adjournment thereof, conferring authority upon such true and lawful attorneys to vote in their discretion on such other matters as may properly come before the meeting and any postponement, continuation, or adjournment thereof and revoking any proxy heretofore given.</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continuation, adjournment or postponement thereof.</w:t>
      </w:r>
    </w:p>
    <w:p>
      <w:pPr>
        <w:spacing w:after="0" w:line="132"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ectPr>
          <w:pgSz w:w="11900" w:h="16838" w:orient="portrait"/>
          <w:cols w:equalWidth="0" w:num="1">
            <w:col w:w="11060"/>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PLEASE BE SURE TO SIGN AND DATE THIS PROXY CARD AND MARK ON THE REVERSE SIDE</w:t>
      </w:r>
    </w:p>
    <w:p>
      <w:pPr>
        <w:sectPr>
          <w:pgSz w:w="11900" w:h="16838" w:orient="portrait"/>
          <w:cols w:equalWidth="0" w:num="1">
            <w:col w:w="11060"/>
          </w:cols>
          <w:pgMar w:left="320" w:top="455" w:right="51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center"/>
        <w:ind w:left="3440"/>
        <w:spacing w:after="0"/>
        <w:rPr>
          <w:sz w:val="20"/>
          <w:szCs w:val="20"/>
          <w:color w:val="auto"/>
        </w:rPr>
      </w:pPr>
      <w:r>
        <w:rPr>
          <w:rFonts w:ascii="Arial" w:cs="Arial" w:eastAsia="Arial" w:hAnsi="Arial"/>
          <w:sz w:val="32"/>
          <w:szCs w:val="32"/>
          <w:b w:val="1"/>
          <w:bCs w:val="1"/>
          <w:color w:val="auto"/>
        </w:rPr>
        <w:t>NerdWallet, Inc.</w:t>
      </w:r>
    </w:p>
    <w:p>
      <w:pPr>
        <w:spacing w:after="0" w:line="93"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243205</wp:posOffset>
            </wp:positionV>
            <wp:extent cx="18859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Please make your marks like this: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2 AND 3</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PROPOSAL</w:t>
      </w:r>
    </w:p>
    <w:p>
      <w:pPr>
        <w:spacing w:after="0" w:line="67" w:lineRule="exact"/>
        <w:rPr>
          <w:sz w:val="20"/>
          <w:szCs w:val="20"/>
          <w:color w:val="auto"/>
        </w:rPr>
      </w:pPr>
    </w:p>
    <w:p>
      <w:pPr>
        <w:ind w:left="520" w:hanging="404"/>
        <w:spacing w:after="0" w:line="263" w:lineRule="auto"/>
        <w:tabs>
          <w:tab w:leader="none" w:pos="5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To elect five members to our Board of Directors, each to serve until the 2023 annual meeting of stockholders and until a successor has been duly elected and qualified, or until such director’s earlier resignation, retirement or other termination of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1700" w:type="dxa"/>
            <w:vAlign w:val="bottom"/>
          </w:tcPr>
          <w:p>
            <w:pPr>
              <w:jc w:val="center"/>
              <w:ind w:left="866"/>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2"/>
        </w:trPr>
        <w:tc>
          <w:tcPr>
            <w:tcW w:w="1280" w:type="dxa"/>
            <w:vAlign w:val="bottom"/>
            <w:vMerge w:val="restart"/>
          </w:tcPr>
          <w:p>
            <w:pPr>
              <w:ind w:left="620"/>
              <w:spacing w:after="0"/>
              <w:rPr>
                <w:sz w:val="20"/>
                <w:szCs w:val="20"/>
                <w:color w:val="auto"/>
              </w:rPr>
            </w:pPr>
            <w:r>
              <w:rPr>
                <w:rFonts w:ascii="Arial" w:cs="Arial" w:eastAsia="Arial" w:hAnsi="Arial"/>
                <w:sz w:val="11"/>
                <w:szCs w:val="11"/>
                <w:b w:val="1"/>
                <w:bCs w:val="1"/>
                <w:color w:val="auto"/>
                <w:w w:val="98"/>
              </w:rPr>
              <w:t>YOUR VOTE</w:t>
            </w:r>
          </w:p>
        </w:tc>
        <w:tc>
          <w:tcPr>
            <w:tcW w:w="1700" w:type="dxa"/>
            <w:vAlign w:val="bottom"/>
          </w:tcPr>
          <w:p>
            <w:pPr>
              <w:jc w:val="center"/>
              <w:ind w:left="886"/>
              <w:spacing w:after="0" w:line="122" w:lineRule="exact"/>
              <w:rPr>
                <w:sz w:val="20"/>
                <w:szCs w:val="20"/>
                <w:color w:val="auto"/>
              </w:rPr>
            </w:pPr>
            <w:r>
              <w:rPr>
                <w:rFonts w:ascii="Arial" w:cs="Arial" w:eastAsia="Arial" w:hAnsi="Arial"/>
                <w:sz w:val="11"/>
                <w:szCs w:val="11"/>
                <w:b w:val="1"/>
                <w:bCs w:val="1"/>
                <w:color w:val="auto"/>
                <w:w w:val="98"/>
              </w:rPr>
              <w:t>DIRECTORS</w:t>
            </w:r>
          </w:p>
        </w:tc>
        <w:tc>
          <w:tcPr>
            <w:tcW w:w="0" w:type="dxa"/>
            <w:vAlign w:val="bottom"/>
          </w:tcPr>
          <w:p>
            <w:pPr>
              <w:spacing w:after="0"/>
              <w:rPr>
                <w:sz w:val="1"/>
                <w:szCs w:val="1"/>
                <w:color w:val="auto"/>
              </w:rPr>
            </w:pPr>
          </w:p>
        </w:tc>
      </w:tr>
      <w:tr>
        <w:trPr>
          <w:trHeight w:val="148"/>
        </w:trPr>
        <w:tc>
          <w:tcPr>
            <w:tcW w:w="1280" w:type="dxa"/>
            <w:vAlign w:val="bottom"/>
            <w:vMerge w:val="continue"/>
          </w:tcPr>
          <w:p>
            <w:pPr>
              <w:spacing w:after="0"/>
              <w:rPr>
                <w:sz w:val="12"/>
                <w:szCs w:val="12"/>
                <w:color w:val="auto"/>
              </w:rPr>
            </w:pPr>
          </w:p>
        </w:tc>
        <w:tc>
          <w:tcPr>
            <w:tcW w:w="1700" w:type="dxa"/>
            <w:vAlign w:val="bottom"/>
          </w:tcPr>
          <w:p>
            <w:pPr>
              <w:jc w:val="center"/>
              <w:ind w:left="866"/>
              <w:spacing w:after="0"/>
              <w:rPr>
                <w:sz w:val="20"/>
                <w:szCs w:val="20"/>
                <w:color w:val="auto"/>
              </w:rPr>
            </w:pPr>
            <w:r>
              <w:rPr>
                <w:rFonts w:ascii="Arial" w:cs="Arial" w:eastAsia="Arial" w:hAnsi="Arial"/>
                <w:sz w:val="11"/>
                <w:szCs w:val="11"/>
                <w:b w:val="1"/>
                <w:bCs w:val="1"/>
                <w:color w:val="auto"/>
                <w:w w:val="96"/>
              </w:rPr>
              <w:t>RECOMMENDS</w:t>
            </w:r>
          </w:p>
        </w:tc>
        <w:tc>
          <w:tcPr>
            <w:tcW w:w="0" w:type="dxa"/>
            <w:vAlign w:val="bottom"/>
          </w:tcPr>
          <w:p>
            <w:pPr>
              <w:spacing w:after="0"/>
              <w:rPr>
                <w:sz w:val="1"/>
                <w:szCs w:val="1"/>
                <w:color w:val="auto"/>
              </w:rPr>
            </w:pPr>
          </w:p>
        </w:tc>
      </w:tr>
      <w:tr>
        <w:trPr>
          <w:trHeight w:val="798"/>
        </w:trPr>
        <w:tc>
          <w:tcPr>
            <w:tcW w:w="12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1700" w:type="dxa"/>
            <w:vAlign w:val="bottom"/>
          </w:tcPr>
          <w:p>
            <w:pPr>
              <w:ind w:left="40"/>
              <w:spacing w:after="0"/>
              <w:rPr>
                <w:sz w:val="20"/>
                <w:szCs w:val="20"/>
                <w:color w:val="auto"/>
              </w:rPr>
            </w:pPr>
            <w:r>
              <w:rPr>
                <w:rFonts w:ascii="Arial" w:cs="Arial" w:eastAsia="Arial" w:hAnsi="Arial"/>
                <w:sz w:val="11"/>
                <w:szCs w:val="11"/>
                <w:b w:val="1"/>
                <w:bCs w:val="1"/>
                <w:color w:val="auto"/>
              </w:rPr>
              <w:t>WITHHOLD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-360045</wp:posOffset>
            </wp:positionV>
            <wp:extent cx="316865" cy="3600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6865" cy="3600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20" w:space="320"/>
            <w:col w:w="2980"/>
          </w:cols>
          <w:pgMar w:left="320" w:top="455" w:right="459" w:bottom="1440" w:gutter="0" w:footer="0" w:header="0"/>
        </w:sectPr>
      </w:pPr>
    </w:p>
    <w:tbl>
      <w:tblPr>
        <w:tblLayout w:type="fixed"/>
        <w:tblInd w:w="120" w:type="dxa"/>
        <w:tblCellMar>
          <w:top w:w="0" w:type="dxa"/>
          <w:left w:w="0" w:type="dxa"/>
          <w:bottom w:w="0" w:type="dxa"/>
          <w:right w:w="0" w:type="dxa"/>
        </w:tblCellMar>
      </w:tblPr>
      <w:tr>
        <w:trPr>
          <w:trHeight w:val="226"/>
        </w:trPr>
        <w:tc>
          <w:tcPr>
            <w:tcW w:w="260" w:type="dxa"/>
            <w:vAlign w:val="bottom"/>
          </w:tcPr>
          <w:p>
            <w:pPr>
              <w:spacing w:after="0"/>
              <w:rPr>
                <w:sz w:val="19"/>
                <w:szCs w:val="19"/>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1.01</w:t>
            </w:r>
          </w:p>
        </w:tc>
        <w:tc>
          <w:tcPr>
            <w:tcW w:w="7120" w:type="dxa"/>
            <w:vAlign w:val="bottom"/>
          </w:tcPr>
          <w:p>
            <w:pPr>
              <w:ind w:left="20"/>
              <w:spacing w:after="0"/>
              <w:rPr>
                <w:sz w:val="20"/>
                <w:szCs w:val="20"/>
                <w:color w:val="auto"/>
              </w:rPr>
            </w:pPr>
            <w:r>
              <w:rPr>
                <w:rFonts w:ascii="Arial" w:cs="Arial" w:eastAsia="Arial" w:hAnsi="Arial"/>
                <w:sz w:val="14"/>
                <w:szCs w:val="14"/>
                <w:color w:val="auto"/>
              </w:rPr>
              <w:t>Tim Chen</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spacing w:after="0"/>
              <w:rPr>
                <w:sz w:val="19"/>
                <w:szCs w:val="19"/>
                <w:color w:val="auto"/>
              </w:rPr>
            </w:pP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249"/>
        </w:trPr>
        <w:tc>
          <w:tcPr>
            <w:tcW w:w="260" w:type="dxa"/>
            <w:vAlign w:val="bottom"/>
          </w:tcPr>
          <w:p>
            <w:pPr>
              <w:spacing w:after="0"/>
              <w:rPr>
                <w:sz w:val="21"/>
                <w:szCs w:val="21"/>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1.02</w:t>
            </w:r>
          </w:p>
        </w:tc>
        <w:tc>
          <w:tcPr>
            <w:tcW w:w="7120" w:type="dxa"/>
            <w:vAlign w:val="bottom"/>
          </w:tcPr>
          <w:p>
            <w:pPr>
              <w:ind w:left="20"/>
              <w:spacing w:after="0"/>
              <w:rPr>
                <w:sz w:val="20"/>
                <w:szCs w:val="20"/>
                <w:color w:val="auto"/>
              </w:rPr>
            </w:pPr>
            <w:r>
              <w:rPr>
                <w:rFonts w:ascii="Arial" w:cs="Arial" w:eastAsia="Arial" w:hAnsi="Arial"/>
                <w:sz w:val="14"/>
                <w:szCs w:val="14"/>
                <w:color w:val="auto"/>
              </w:rPr>
              <w:t>Jennifer E. Ceran</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spacing w:after="0"/>
              <w:rPr>
                <w:sz w:val="21"/>
                <w:szCs w:val="21"/>
                <w:color w:val="auto"/>
              </w:rPr>
            </w:pP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283"/>
        </w:trPr>
        <w:tc>
          <w:tcPr>
            <w:tcW w:w="26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1.03</w:t>
            </w:r>
          </w:p>
        </w:tc>
        <w:tc>
          <w:tcPr>
            <w:tcW w:w="7120" w:type="dxa"/>
            <w:vAlign w:val="bottom"/>
          </w:tcPr>
          <w:p>
            <w:pPr>
              <w:ind w:left="20"/>
              <w:spacing w:after="0"/>
              <w:rPr>
                <w:sz w:val="20"/>
                <w:szCs w:val="20"/>
                <w:color w:val="auto"/>
              </w:rPr>
            </w:pPr>
            <w:r>
              <w:rPr>
                <w:rFonts w:ascii="Arial" w:cs="Arial" w:eastAsia="Arial" w:hAnsi="Arial"/>
                <w:sz w:val="14"/>
                <w:szCs w:val="14"/>
                <w:color w:val="auto"/>
              </w:rPr>
              <w:t>Lynne M. Laube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spacing w:after="0"/>
              <w:rPr>
                <w:sz w:val="24"/>
                <w:szCs w:val="24"/>
                <w:color w:val="auto"/>
              </w:rPr>
            </w:pP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284"/>
        </w:trPr>
        <w:tc>
          <w:tcPr>
            <w:tcW w:w="26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1.04</w:t>
            </w:r>
          </w:p>
        </w:tc>
        <w:tc>
          <w:tcPr>
            <w:tcW w:w="7120" w:type="dxa"/>
            <w:vAlign w:val="bottom"/>
          </w:tcPr>
          <w:p>
            <w:pPr>
              <w:ind w:left="20"/>
              <w:spacing w:after="0"/>
              <w:rPr>
                <w:sz w:val="20"/>
                <w:szCs w:val="20"/>
                <w:color w:val="auto"/>
              </w:rPr>
            </w:pPr>
            <w:r>
              <w:rPr>
                <w:rFonts w:ascii="Arial" w:cs="Arial" w:eastAsia="Arial" w:hAnsi="Arial"/>
                <w:sz w:val="14"/>
                <w:szCs w:val="14"/>
                <w:color w:val="auto"/>
              </w:rPr>
              <w:t>Thomas Loverro</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spacing w:after="0"/>
              <w:rPr>
                <w:sz w:val="24"/>
                <w:szCs w:val="24"/>
                <w:color w:val="auto"/>
              </w:rPr>
            </w:pP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283"/>
        </w:trPr>
        <w:tc>
          <w:tcPr>
            <w:tcW w:w="260" w:type="dxa"/>
            <w:vAlign w:val="bottom"/>
          </w:tcPr>
          <w:p>
            <w:pPr>
              <w:spacing w:after="0"/>
              <w:rPr>
                <w:sz w:val="24"/>
                <w:szCs w:val="24"/>
                <w:color w:val="auto"/>
              </w:rPr>
            </w:pPr>
          </w:p>
        </w:tc>
        <w:tc>
          <w:tcPr>
            <w:tcW w:w="440" w:type="dxa"/>
            <w:vAlign w:val="bottom"/>
          </w:tcPr>
          <w:p>
            <w:pPr>
              <w:ind w:left="140"/>
              <w:spacing w:after="0"/>
              <w:rPr>
                <w:sz w:val="20"/>
                <w:szCs w:val="20"/>
                <w:color w:val="auto"/>
              </w:rPr>
            </w:pPr>
            <w:r>
              <w:rPr>
                <w:rFonts w:ascii="Arial" w:cs="Arial" w:eastAsia="Arial" w:hAnsi="Arial"/>
                <w:sz w:val="14"/>
                <w:szCs w:val="14"/>
                <w:color w:val="auto"/>
              </w:rPr>
              <w:t>1.05</w:t>
            </w:r>
          </w:p>
        </w:tc>
        <w:tc>
          <w:tcPr>
            <w:tcW w:w="7120" w:type="dxa"/>
            <w:vAlign w:val="bottom"/>
          </w:tcPr>
          <w:p>
            <w:pPr>
              <w:ind w:left="20"/>
              <w:spacing w:after="0"/>
              <w:rPr>
                <w:sz w:val="20"/>
                <w:szCs w:val="20"/>
                <w:color w:val="auto"/>
              </w:rPr>
            </w:pPr>
            <w:r>
              <w:rPr>
                <w:rFonts w:ascii="Arial" w:cs="Arial" w:eastAsia="Arial" w:hAnsi="Arial"/>
                <w:sz w:val="14"/>
                <w:szCs w:val="14"/>
                <w:color w:val="auto"/>
              </w:rPr>
              <w:t>Kenneth T. McBride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spacing w:after="0"/>
              <w:rPr>
                <w:sz w:val="24"/>
                <w:szCs w:val="24"/>
                <w:color w:val="auto"/>
              </w:rPr>
            </w:pP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401"/>
        </w:trPr>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960" w:type="dxa"/>
            <w:vAlign w:val="bottom"/>
          </w:tcPr>
          <w:p>
            <w:pPr>
              <w:jc w:val="center"/>
              <w:ind w:right="50"/>
              <w:spacing w:after="0"/>
              <w:rPr>
                <w:sz w:val="20"/>
                <w:szCs w:val="20"/>
                <w:color w:val="auto"/>
              </w:rPr>
            </w:pPr>
            <w:r>
              <w:rPr>
                <w:rFonts w:ascii="Arial" w:cs="Arial" w:eastAsia="Arial" w:hAnsi="Arial"/>
                <w:sz w:val="11"/>
                <w:szCs w:val="11"/>
                <w:b w:val="1"/>
                <w:bCs w:val="1"/>
                <w:color w:val="auto"/>
                <w:w w:val="98"/>
              </w:rPr>
              <w:t>ABSTAIN</w:t>
            </w:r>
          </w:p>
        </w:tc>
        <w:tc>
          <w:tcPr>
            <w:tcW w:w="600" w:type="dxa"/>
            <w:vAlign w:val="bottom"/>
          </w:tcPr>
          <w:p>
            <w:pPr>
              <w:spacing w:after="0"/>
              <w:rPr>
                <w:sz w:val="24"/>
                <w:szCs w:val="24"/>
                <w:color w:val="auto"/>
              </w:rPr>
            </w:pPr>
          </w:p>
        </w:tc>
      </w:tr>
      <w:tr>
        <w:trPr>
          <w:trHeight w:val="180"/>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2.</w:t>
            </w:r>
          </w:p>
        </w:tc>
        <w:tc>
          <w:tcPr>
            <w:tcW w:w="7560" w:type="dxa"/>
            <w:vAlign w:val="bottom"/>
            <w:gridSpan w:val="2"/>
          </w:tcPr>
          <w:p>
            <w:pPr>
              <w:ind w:left="140"/>
              <w:spacing w:after="0"/>
              <w:rPr>
                <w:sz w:val="20"/>
                <w:szCs w:val="20"/>
                <w:color w:val="auto"/>
              </w:rPr>
            </w:pPr>
            <w:r>
              <w:rPr>
                <w:rFonts w:ascii="Arial" w:cs="Arial" w:eastAsia="Arial" w:hAnsi="Arial"/>
                <w:sz w:val="14"/>
                <w:szCs w:val="14"/>
                <w:color w:val="auto"/>
              </w:rPr>
              <w:t>To approve an amendment to the NerdWallet, Inc. 2021 Equity Incentive Plan to increase the number of shares of</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190"/>
        </w:trPr>
        <w:tc>
          <w:tcPr>
            <w:tcW w:w="260" w:type="dxa"/>
            <w:vAlign w:val="bottom"/>
          </w:tcPr>
          <w:p>
            <w:pPr>
              <w:spacing w:after="0"/>
              <w:rPr>
                <w:sz w:val="16"/>
                <w:szCs w:val="16"/>
                <w:color w:val="auto"/>
              </w:rPr>
            </w:pPr>
          </w:p>
        </w:tc>
        <w:tc>
          <w:tcPr>
            <w:tcW w:w="7560" w:type="dxa"/>
            <w:vAlign w:val="bottom"/>
            <w:gridSpan w:val="2"/>
          </w:tcPr>
          <w:p>
            <w:pPr>
              <w:ind w:left="140"/>
              <w:spacing w:after="0"/>
              <w:rPr>
                <w:sz w:val="20"/>
                <w:szCs w:val="20"/>
                <w:color w:val="auto"/>
              </w:rPr>
            </w:pPr>
            <w:r>
              <w:rPr>
                <w:rFonts w:ascii="Arial" w:cs="Arial" w:eastAsia="Arial" w:hAnsi="Arial"/>
                <w:sz w:val="14"/>
                <w:szCs w:val="14"/>
                <w:color w:val="auto"/>
              </w:rPr>
              <w:t>Class A common stock reserved for issuance thereunder by 8,000,000.</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50"/>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3.</w:t>
            </w:r>
          </w:p>
        </w:tc>
        <w:tc>
          <w:tcPr>
            <w:tcW w:w="7560" w:type="dxa"/>
            <w:vAlign w:val="bottom"/>
            <w:gridSpan w:val="2"/>
          </w:tcPr>
          <w:p>
            <w:pPr>
              <w:ind w:left="140"/>
              <w:spacing w:after="0"/>
              <w:rPr>
                <w:sz w:val="20"/>
                <w:szCs w:val="20"/>
                <w:color w:val="auto"/>
              </w:rPr>
            </w:pPr>
            <w:r>
              <w:rPr>
                <w:rFonts w:ascii="Arial" w:cs="Arial" w:eastAsia="Arial" w:hAnsi="Arial"/>
                <w:sz w:val="14"/>
                <w:szCs w:val="14"/>
                <w:color w:val="auto"/>
              </w:rPr>
              <w:t>To ratify the appointment of Deloitte &amp; Touche LLP as our independent registered public accounting firm for the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jc w:val="center"/>
              <w:ind w:right="50"/>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94"/>
              </w:rPr>
              <w:t>FOR</w:t>
            </w:r>
          </w:p>
        </w:tc>
      </w:tr>
      <w:tr>
        <w:trPr>
          <w:trHeight w:val="190"/>
        </w:trPr>
        <w:tc>
          <w:tcPr>
            <w:tcW w:w="260" w:type="dxa"/>
            <w:vAlign w:val="bottom"/>
          </w:tcPr>
          <w:p>
            <w:pPr>
              <w:spacing w:after="0"/>
              <w:rPr>
                <w:sz w:val="16"/>
                <w:szCs w:val="16"/>
                <w:color w:val="auto"/>
              </w:rPr>
            </w:pPr>
          </w:p>
        </w:tc>
        <w:tc>
          <w:tcPr>
            <w:tcW w:w="7560" w:type="dxa"/>
            <w:vAlign w:val="bottom"/>
            <w:gridSpan w:val="2"/>
          </w:tcPr>
          <w:p>
            <w:pPr>
              <w:ind w:left="140"/>
              <w:spacing w:after="0"/>
              <w:rPr>
                <w:sz w:val="20"/>
                <w:szCs w:val="20"/>
                <w:color w:val="auto"/>
              </w:rPr>
            </w:pPr>
            <w:r>
              <w:rPr>
                <w:rFonts w:ascii="Arial" w:cs="Arial" w:eastAsia="Arial" w:hAnsi="Arial"/>
                <w:sz w:val="14"/>
                <w:szCs w:val="14"/>
                <w:color w:val="auto"/>
              </w:rPr>
              <w:t>year ending December 31, 2022.</w:t>
            </w:r>
          </w:p>
        </w:tc>
        <w:tc>
          <w:tcPr>
            <w:tcW w:w="5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80" w:lineRule="exact"/>
        <w:rPr>
          <w:sz w:val="20"/>
          <w:szCs w:val="20"/>
          <w:color w:val="auto"/>
        </w:rPr>
      </w:pPr>
    </w:p>
    <w:p>
      <w:pPr>
        <w:ind w:left="520" w:right="3540"/>
        <w:spacing w:after="0" w:line="285" w:lineRule="auto"/>
        <w:rPr>
          <w:sz w:val="20"/>
          <w:szCs w:val="20"/>
          <w:color w:val="auto"/>
        </w:rPr>
      </w:pPr>
      <w:r>
        <w:rPr>
          <w:rFonts w:ascii="Arial" w:cs="Arial" w:eastAsia="Arial" w:hAnsi="Arial"/>
          <w:sz w:val="14"/>
          <w:szCs w:val="14"/>
          <w:color w:val="auto"/>
        </w:rPr>
        <w:t>NOTE: In their discretion, the Named Proxies are authorized to vote upon such other business as may properly come before the meeting or any postponement, continuation or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You must register to attend the meeting online and/or participate at www.proxydocs.com/NRDS</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Authorized Signatures - Must be completed for your instructions to be executed.</w:t>
      </w:r>
    </w:p>
    <w:p>
      <w:pPr>
        <w:spacing w:after="0" w:line="15" w:lineRule="exact"/>
        <w:rPr>
          <w:sz w:val="20"/>
          <w:szCs w:val="20"/>
          <w:color w:val="auto"/>
        </w:rPr>
      </w:pPr>
    </w:p>
    <w:p>
      <w:pPr>
        <w:ind w:left="1100" w:right="140"/>
        <w:spacing w:after="0" w:line="257" w:lineRule="auto"/>
        <w:rPr>
          <w:sz w:val="20"/>
          <w:szCs w:val="20"/>
          <w:color w:val="auto"/>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LLCs or other entities should provide the full name of the entity and title of the authorized officer signing the Proxy/Vote Form.</w:t>
      </w:r>
    </w:p>
    <w:p>
      <w:pPr>
        <w:sectPr>
          <w:pgSz w:w="11900" w:h="16838" w:orient="portrait"/>
          <w:cols w:equalWidth="0" w:num="1">
            <w:col w:w="11120"/>
          </w:cols>
          <w:pgMar w:left="320" w:top="45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4160" w:val="left"/>
          <w:tab w:leader="none" w:pos="5600" w:val="left"/>
          <w:tab w:leader="none" w:pos="9880" w:val="left"/>
        </w:tabs>
        <w:rPr>
          <w:sz w:val="20"/>
          <w:szCs w:val="20"/>
          <w:color w:val="auto"/>
        </w:rPr>
      </w:pPr>
      <w:r>
        <w:rPr>
          <w:rFonts w:ascii="Arial" w:cs="Arial" w:eastAsia="Arial" w:hAnsi="Arial"/>
          <w:sz w:val="15"/>
          <w:szCs w:val="15"/>
          <w:color w:val="auto"/>
        </w:rPr>
        <w:t>Signature (and Title if applicable)</w:t>
      </w:r>
      <w:r>
        <w:rPr>
          <w:sz w:val="20"/>
          <w:szCs w:val="20"/>
          <w:color w:val="auto"/>
        </w:rPr>
        <w:tab/>
      </w: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Signature (if held jointly)</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120"/>
      </w:cols>
      <w:pgMar w:left="320" w:top="455"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1."/>
      <w:numFmt w:val="decimal"/>
      <w:start w:val="1"/>
    </w:lvl>
  </w:abstractNum>
  <w:abstractNum w:abstractNumId="6">
    <w:nsid w:val="6B94764"/>
    <w:multiLevelType w:val="hybridMultilevel"/>
    <w:lvl w:ilvl="0">
      <w:lvlJc w:val="left"/>
      <w:lvlText w:val="9"/>
      <w:numFmt w:val="bullet"/>
      <w:start w:val="1"/>
    </w:lvl>
  </w:abstractNum>
  <w:abstractNum w:abstractNumId="7">
    <w:nsid w:val="42C296BD"/>
    <w:multiLevelType w:val="hybridMultilevel"/>
    <w:lvl w:ilvl="0">
      <w:lvlJc w:val="left"/>
      <w:lvlText w:val="%1"/>
      <w:numFmt w:val="decimal"/>
      <w:start w:val="26"/>
    </w:lvl>
  </w:abstractNum>
  <w:abstractNum w:abstractNumId="8">
    <w:nsid w:val="168E121F"/>
    <w:multiLevelType w:val="hybridMultilevel"/>
    <w:lvl w:ilvl="0">
      <w:lvlJc w:val="left"/>
      <w:lvlText w:val="%1"/>
      <w:numFmt w:val="decimal"/>
      <w:start w:val="29"/>
    </w:lvl>
  </w:abstractNum>
  <w:abstractNum w:abstractNumId="9">
    <w:nsid w:val="1EBA5D23"/>
    <w:multiLevelType w:val="hybridMultilevel"/>
    <w:lvl w:ilvl="0">
      <w:lvlJc w:val="left"/>
      <w:lvlText w:val="%1"/>
      <w:numFmt w:val="decimal"/>
      <w:start w:val="34"/>
    </w:lvl>
  </w:abstractNum>
  <w:abstractNum w:abstractNumId="10">
    <w:nsid w:val="661E3F1E"/>
    <w:multiLevelType w:val="hybridMultilevel"/>
    <w:lvl w:ilvl="0">
      <w:lvlJc w:val="left"/>
      <w:lvlText w:val="2"/>
      <w:numFmt w:val="bullet"/>
      <w:start w:val="1"/>
    </w:lvl>
  </w:abstractNum>
  <w:abstractNum w:abstractNumId="11">
    <w:nsid w:val="5DC79EA8"/>
    <w:multiLevelType w:val="hybridMultilevel"/>
    <w:lvl w:ilvl="0">
      <w:lvlJc w:val="left"/>
      <w:lvlText w:val="4"/>
      <w:numFmt w:val="bullet"/>
      <w:start w:val="1"/>
    </w:lvl>
  </w:abstractNum>
  <w:abstractNum w:abstractNumId="12">
    <w:nsid w:val="540A471C"/>
    <w:multiLevelType w:val="hybridMultilevel"/>
    <w:lvl w:ilvl="0">
      <w:lvlJc w:val="left"/>
      <w:lvlText w:val="6"/>
      <w:numFmt w:val="bullet"/>
      <w:start w:val="1"/>
    </w:lvl>
  </w:abstractNum>
  <w:abstractNum w:abstractNumId="13">
    <w:nsid w:val="7BD3EE7B"/>
    <w:multiLevelType w:val="hybridMultilevel"/>
    <w:lvl w:ilvl="0">
      <w:lvlJc w:val="left"/>
      <w:lvlText w:val="8"/>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1"/>
      <w:numFmt w:val="decimal"/>
      <w:start w:val="10"/>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1"/>
      <w:numFmt w:val="decimal"/>
      <w:start w:val="12"/>
    </w:lvl>
  </w:abstractNum>
  <w:abstractNum w:abstractNumId="20">
    <w:nsid w:val="8F2B15E"/>
    <w:multiLevelType w:val="hybridMultilevel"/>
    <w:lvl w:ilvl="0">
      <w:lvlJc w:val="left"/>
      <w:lvlText w:val="%1"/>
      <w:numFmt w:val="decimal"/>
      <w:start w:val="14"/>
    </w:lvl>
  </w:abstractNum>
  <w:abstractNum w:abstractNumId="21">
    <w:nsid w:val="1A32234B"/>
    <w:multiLevelType w:val="hybridMultilevel"/>
    <w:lvl w:ilvl="0">
      <w:lvlJc w:val="left"/>
      <w:lvlText w:val="%1"/>
      <w:numFmt w:val="decimal"/>
      <w:start w:val="16"/>
    </w:lvl>
  </w:abstractNum>
  <w:abstractNum w:abstractNumId="22">
    <w:nsid w:val="3B0FD379"/>
    <w:multiLevelType w:val="hybridMultilevel"/>
    <w:lvl w:ilvl="0">
      <w:lvlJc w:val="left"/>
      <w:lvlText w:val="%1"/>
      <w:numFmt w:val="decimal"/>
      <w:start w:val="18"/>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20"/>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1"/>
      <w:numFmt w:val="decimal"/>
      <w:start w:val="22"/>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1"/>
      <w:numFmt w:val="decimal"/>
      <w:start w:val="24"/>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1"/>
      <w:numFmt w:val="decimal"/>
      <w:start w:val="26"/>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28"/>
    </w:lvl>
  </w:abstractNum>
  <w:abstractNum w:abstractNumId="39">
    <w:nsid w:val="1716703B"/>
    <w:multiLevelType w:val="hybridMultilevel"/>
    <w:lvl w:ilvl="0">
      <w:lvlJc w:val="left"/>
      <w:lvlText w:val="%1"/>
      <w:numFmt w:val="decimal"/>
      <w:start w:val="30"/>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lvl w:ilvl="1">
      <w:lvlJc w:val="left"/>
      <w:lvlText w:val="%2."/>
      <w:numFmt w:val="lowerLetter"/>
      <w:start w:val="1"/>
    </w:lvl>
  </w:abstractNum>
  <w:abstractNum w:abstractNumId="43">
    <w:nsid w:val="68EBC550"/>
    <w:multiLevelType w:val="hybridMultilevel"/>
    <w:lvl w:ilvl="0">
      <w:lvlJc w:val="left"/>
      <w:lvlText w:val="(%1)"/>
      <w:numFmt w:val="decimal"/>
      <w:start w:val="4"/>
    </w:lvl>
  </w:abstractNum>
  <w:abstractNum w:abstractNumId="44">
    <w:nsid w:val="2DF6D648"/>
    <w:multiLevelType w:val="hybridMultilevel"/>
    <w:lvl w:ilvl="0">
      <w:lvlJc w:val="left"/>
      <w:lvlText w:val="%1"/>
      <w:numFmt w:val="decimal"/>
      <w:start w:val="34"/>
    </w:lvl>
  </w:abstractNum>
  <w:abstractNum w:abstractNumId="45">
    <w:nsid w:val="46B7D447"/>
    <w:multiLevelType w:val="hybridMultilevel"/>
    <w:lvl w:ilvl="0">
      <w:lvlJc w:val="left"/>
      <w:lvlText w:val="%1"/>
      <w:numFmt w:val="decimal"/>
      <w:start w:val="36"/>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38"/>
    </w:lvl>
  </w:abstractNum>
  <w:abstractNum w:abstractNumId="49">
    <w:nsid w:val="CC1016F"/>
    <w:multiLevelType w:val="hybridMultilevel"/>
    <w:lvl w:ilvl="0">
      <w:lvlJc w:val="left"/>
      <w:lvlText w:val="(%1)"/>
      <w:numFmt w:val="decimal"/>
      <w:start w:val="7"/>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decimal"/>
      <w:start w:val="40"/>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decimal"/>
      <w:start w:val="42"/>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1"/>
      <w:numFmt w:val="decimal"/>
      <w:start w:val="44"/>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1)"/>
      <w:numFmt w:val="decimal"/>
      <w:start w:val="2"/>
    </w:lvl>
  </w:abstractNum>
  <w:abstractNum w:abstractNumId="60">
    <w:nsid w:val="6AA78F7F"/>
    <w:multiLevelType w:val="hybridMultilevel"/>
    <w:lvl w:ilvl="0">
      <w:lvlJc w:val="left"/>
      <w:lvlText w:val="%1"/>
      <w:numFmt w:val="decimal"/>
      <w:start w:val="46"/>
    </w:lvl>
  </w:abstractNum>
  <w:abstractNum w:abstractNumId="61">
    <w:nsid w:val="7672BD23"/>
    <w:multiLevelType w:val="hybridMultilevel"/>
    <w:lvl w:ilvl="0">
      <w:lvlJc w:val="left"/>
      <w:lvlText w:val="(%1)"/>
      <w:numFmt w:val="decimal"/>
      <w:start w:val="4"/>
    </w:lvl>
  </w:abstractNum>
  <w:abstractNum w:abstractNumId="62">
    <w:nsid w:val="6FC75AF8"/>
    <w:multiLevelType w:val="hybridMultilevel"/>
    <w:lvl w:ilvl="0">
      <w:lvlJc w:val="left"/>
      <w:lvlText w:val="%1"/>
      <w:numFmt w:val="decimal"/>
      <w:start w:val="48"/>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1"/>
      <w:numFmt w:val="decimal"/>
      <w:start w:val="52"/>
    </w:lvl>
  </w:abstractNum>
  <w:abstractNum w:abstractNumId="67">
    <w:nsid w:val="7DE67713"/>
    <w:multiLevelType w:val="hybridMultilevel"/>
    <w:lvl w:ilvl="0">
      <w:lvlJc w:val="left"/>
      <w:lvlText w:val="%1"/>
      <w:numFmt w:val="decimal"/>
      <w:start w:val="54"/>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1"/>
      <w:numFmt w:val="decimal"/>
      <w:start w:val="56"/>
    </w:lvl>
  </w:abstractNum>
  <w:abstractNum w:abstractNumId="70">
    <w:nsid w:val="14FCE74E"/>
    <w:multiLevelType w:val="hybridMultilevel"/>
    <w:lvl w:ilvl="0">
      <w:lvlJc w:val="left"/>
      <w:lvlText w:val="%1"/>
      <w:numFmt w:val="decimal"/>
      <w:start w:val="58"/>
    </w:lvl>
  </w:abstractNum>
  <w:abstractNum w:abstractNumId="71">
    <w:nsid w:val="6A3DD3E8"/>
    <w:multiLevelType w:val="hybridMultilevel"/>
    <w:lvl w:ilvl="0">
      <w:lvlJc w:val="left"/>
      <w:lvlText w:val="%1"/>
      <w:numFmt w:val="decimal"/>
      <w:start w:val="60"/>
    </w:lvl>
  </w:abstractNum>
  <w:abstractNum w:abstractNumId="72">
    <w:nsid w:val="71C91298"/>
    <w:multiLevelType w:val="hybridMultilevel"/>
    <w:lvl w:ilvl="0">
      <w:lvlJc w:val="left"/>
      <w:lvlText w:val="%1."/>
      <w:numFmt w:val="decimal"/>
      <w:start w:val="1"/>
    </w:lvl>
    <w:lvl w:ilvl="1">
      <w:lvlJc w:val="left"/>
      <w:lvlText w:val="(%2)"/>
      <w:numFmt w:val="lowerLetter"/>
      <w:start w:val="1"/>
    </w:lvl>
  </w:abstractNum>
  <w:abstractNum w:abstractNumId="73">
    <w:nsid w:val="9DAF632"/>
    <w:multiLevelType w:val="hybridMultilevel"/>
    <w:lvl w:ilvl="0">
      <w:lvlJc w:val="left"/>
      <w:lvlText w:val="(%1)"/>
      <w:numFmt w:val="lowerLetter"/>
      <w:start w:val="61"/>
    </w:lvl>
    <w:lvl w:ilvl="1">
      <w:lvlJc w:val="left"/>
      <w:lvlText w:val="(%2)"/>
      <w:numFmt w:val="lowerLetter"/>
      <w:start w:val="4"/>
    </w:lvl>
  </w:abstractNum>
  <w:abstractNum w:abstractNumId="74">
    <w:nsid w:val="5329993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5">
    <w:nsid w:val="1FBFE8E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6">
    <w:nsid w:val="5092CA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7">
    <w:nsid w:val="1D545C4D"/>
    <w:multiLevelType w:val="hybridMultilevel"/>
    <w:lvl w:ilvl="0">
      <w:lvlJc w:val="left"/>
      <w:lvlText w:val="%1"/>
      <w:numFmt w:val="decimal"/>
      <w:start w:val="1"/>
    </w:lvl>
    <w:lvl w:ilvl="1">
      <w:lvlJc w:val="left"/>
      <w:lvlText w:val="(%2)"/>
      <w:numFmt w:val="lowerLetter"/>
      <w:start w:val="4"/>
    </w:lvl>
  </w:abstractNum>
  <w:abstractNum w:abstractNumId="78">
    <w:nsid w:val="59ADEA3D"/>
    <w:multiLevelType w:val="hybridMultilevel"/>
    <w:lvl w:ilvl="0">
      <w:lvlJc w:val="left"/>
      <w:lvlText w:val="%1."/>
      <w:numFmt w:val="decimal"/>
      <w:start w:val="4"/>
    </w:lvl>
    <w:lvl w:ilvl="1">
      <w:lvlJc w:val="left"/>
      <w:lvlText w:val="%2"/>
      <w:numFmt w:val="lowerLetter"/>
      <w:start w:val="1"/>
    </w:lvl>
  </w:abstractNum>
  <w:abstractNum w:abstractNumId="79">
    <w:nsid w:val="288F1A34"/>
    <w:multiLevelType w:val="hybridMultilevel"/>
    <w:lvl w:ilvl="0">
      <w:lvlJc w:val="left"/>
      <w:lvlText w:val="(%1)"/>
      <w:numFmt w:val="lowerLetter"/>
      <w:start w:val="1"/>
    </w:lvl>
    <w:lvl w:ilvl="1">
      <w:lvlJc w:val="left"/>
      <w:lvlText w:val="(%2)"/>
      <w:numFmt w:val="lowerRoman"/>
      <w:start w:val="1"/>
    </w:lvl>
  </w:abstractNum>
  <w:abstractNum w:abstractNumId="80">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1">
    <w:nsid w:val="1D9F6E5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5"/>
    </w:lvl>
  </w:abstractNum>
  <w:abstractNum w:abstractNumId="82">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5108827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4">
    <w:nsid w:val="1CA0C5FA"/>
    <w:multiLevelType w:val="hybridMultilevel"/>
    <w:lvl w:ilvl="0">
      <w:lvlJc w:val="left"/>
      <w:lvlText w:val="(%1)"/>
      <w:numFmt w:val="lowerLetter"/>
      <w:start w:val="8"/>
    </w:lvl>
  </w:abstractNum>
  <w:abstractNum w:abstractNumId="85">
    <w:nsid w:val="53584BCB"/>
    <w:multiLevelType w:val="hybridMultilevel"/>
    <w:lvl w:ilvl="0">
      <w:lvlJc w:val="left"/>
      <w:lvlText w:val="(%1)"/>
      <w:numFmt w:val="lowerRoman"/>
      <w:start w:val="1"/>
    </w:lvl>
  </w:abstractNum>
  <w:abstractNum w:abstractNumId="86">
    <w:nsid w:val="415E286C"/>
    <w:multiLevelType w:val="hybridMultilevel"/>
    <w:lvl w:ilvl="0">
      <w:lvlJc w:val="left"/>
      <w:lvlText w:val="(%1)"/>
      <w:numFmt w:val="lowerLetter"/>
      <w:start w:val="9"/>
    </w:lvl>
  </w:abstractNum>
  <w:abstractNum w:abstractNumId="87">
    <w:nsid w:val="7C58FD0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88">
    <w:nsid w:val="23D86AA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9">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90">
    <w:nsid w:val="5C10FE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E7FFA2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2">
    <w:nsid w:val="3C5991AA"/>
    <w:multiLevelType w:val="hybridMultilevel"/>
    <w:lvl w:ilvl="0">
      <w:lvlJc w:val="left"/>
      <w:lvlText w:val="(%1)"/>
      <w:numFmt w:val="lowerLetter"/>
      <w:start w:val="3"/>
    </w:lvl>
    <w:lvl w:ilvl="1">
      <w:lvlJc w:val="left"/>
      <w:lvlText w:val="(%2)"/>
      <w:numFmt w:val="lowerRoman"/>
      <w:start w:val="1"/>
    </w:lvl>
  </w:abstractNum>
  <w:abstractNum w:abstractNumId="93">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4">
    <w:nsid w:val="78DF6A5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5">
    <w:nsid w:val="39B7AAA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2B0D8DBE"/>
    <w:multiLevelType w:val="hybridMultilevel"/>
    <w:lvl w:ilvl="0">
      <w:lvlJc w:val="left"/>
      <w:lvlText w:val="%1"/>
      <w:numFmt w:val="decimal"/>
      <w:start w:val="1"/>
    </w:lvl>
    <w:lvl w:ilvl="1">
      <w:lvlJc w:val="left"/>
      <w:lvlText w:val="(%2)"/>
      <w:numFmt w:val="lowerRoman"/>
      <w:start w:val="3"/>
    </w:lvl>
  </w:abstractNum>
  <w:abstractNum w:abstractNumId="97">
    <w:nsid w:val="6C80EC70"/>
    <w:multiLevelType w:val="hybridMultilevel"/>
    <w:lvl w:ilvl="0">
      <w:lvlJc w:val="left"/>
      <w:lvlText w:val="(%1)"/>
      <w:numFmt w:val="decimal"/>
      <w:start w:val="2"/>
    </w:lvl>
    <w:lvl w:ilvl="1">
      <w:lvlJc w:val="left"/>
      <w:lvlText w:val="(%2)"/>
      <w:numFmt w:val="lowerRoman"/>
      <w:start w:val="8"/>
    </w:lvl>
  </w:abstractNum>
  <w:abstractNum w:abstractNumId="98">
    <w:nsid w:val="379E21B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9">
    <w:nsid w:val="69E37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0">
    <w:nsid w:val="2C27173B"/>
    <w:multiLevelType w:val="hybridMultilevel"/>
    <w:lvl w:ilvl="0">
      <w:lvlJc w:val="left"/>
      <w:lvlText w:val="%1."/>
      <w:numFmt w:val="decimal"/>
      <w:start w:val="8"/>
    </w:lvl>
    <w:lvl w:ilvl="1">
      <w:lvlJc w:val="left"/>
      <w:lvlText w:val="(%2)"/>
      <w:numFmt w:val="lowerLetter"/>
      <w:start w:val="1"/>
    </w:lvl>
  </w:abstractNum>
  <w:abstractNum w:abstractNumId="101">
    <w:nsid w:val="4C9B0904"/>
    <w:multiLevelType w:val="hybridMultilevel"/>
    <w:lvl w:ilvl="0">
      <w:lvlJc w:val="left"/>
      <w:lvlText w:val="%1"/>
      <w:numFmt w:val="decimal"/>
      <w:start w:val="1"/>
    </w:lvl>
    <w:lvl w:ilvl="1">
      <w:lvlJc w:val="left"/>
      <w:lvlText w:val="(%2)"/>
      <w:numFmt w:val="lowerLetter"/>
      <w:start w:val="3"/>
    </w:lvl>
  </w:abstractNum>
  <w:abstractNum w:abstractNumId="102">
    <w:nsid w:val="6AA7B75C"/>
    <w:multiLevelType w:val="hybridMultilevel"/>
    <w:lvl w:ilvl="0">
      <w:lvlJc w:val="left"/>
      <w:lvlText w:val="%1."/>
      <w:numFmt w:val="decimal"/>
      <w:start w:val="9"/>
    </w:lvl>
    <w:lvl w:ilvl="1">
      <w:lvlJc w:val="left"/>
      <w:lvlText w:val="(%2)"/>
      <w:numFmt w:val="lowerLetter"/>
      <w:start w:val="1"/>
    </w:lvl>
  </w:abstractNum>
  <w:abstractNum w:abstractNumId="103">
    <w:nsid w:val="1DF029D3"/>
    <w:multiLevelType w:val="hybridMultilevel"/>
    <w:lvl w:ilvl="0">
      <w:lvlJc w:val="left"/>
      <w:lvlText w:val="(%1)"/>
      <w:numFmt w:val="lowerLetter"/>
      <w:start w:val="4"/>
    </w:lvl>
  </w:abstractNum>
  <w:abstractNum w:abstractNumId="104">
    <w:nsid w:val="5675FF36"/>
    <w:multiLevelType w:val="hybridMultilevel"/>
    <w:lvl w:ilvl="0">
      <w:lvlJc w:val="left"/>
      <w:lvlText w:val="(%1)"/>
      <w:numFmt w:val="lowerLetter"/>
      <w:start w:val="10"/>
    </w:lvl>
  </w:abstractNum>
  <w:abstractNum w:abstractNumId="105">
    <w:nsid w:val="3DD15094"/>
    <w:multiLevelType w:val="hybridMultilevel"/>
    <w:lvl w:ilvl="0">
      <w:lvlJc w:val="left"/>
      <w:lvlText w:val="%1."/>
      <w:numFmt w:val="decimal"/>
      <w:start w:val="10"/>
    </w:lvl>
  </w:abstractNum>
  <w:abstractNum w:abstractNumId="106">
    <w:nsid w:val="3DB012B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7">
    <w:nsid w:val="2708C9A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08">
    <w:nsid w:val="5B25ACE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09">
    <w:nsid w:val="175DFCF0"/>
    <w:multiLevelType w:val="hybridMultilevel"/>
    <w:lvl w:ilvl="0">
      <w:lvlJc w:val="left"/>
      <w:lvlText w:val="(%1)"/>
      <w:numFmt w:val="lowerLetter"/>
      <w:start w:val="4"/>
    </w:lvl>
    <w:lvl w:ilvl="1">
      <w:lvlJc w:val="left"/>
      <w:lvlText w:val="(%2)"/>
      <w:numFmt w:val="lowerRoman"/>
      <w:start w:val="1"/>
    </w:lvl>
  </w:abstractNum>
  <w:abstractNum w:abstractNumId="110">
    <w:nsid w:val="4F97E3E4"/>
    <w:multiLevelType w:val="hybridMultilevel"/>
    <w:lvl w:ilvl="0">
      <w:lvlJc w:val="left"/>
      <w:lvlText w:val="%1."/>
      <w:numFmt w:val="decimal"/>
      <w:start w:val="12"/>
    </w:lvl>
  </w:abstractNum>
  <w:abstractNum w:abstractNumId="111">
    <w:nsid w:val="53B0A9E"/>
    <w:multiLevelType w:val="hybridMultilevel"/>
    <w:lvl w:ilvl="0">
      <w:lvlJc w:val="left"/>
      <w:lvlText w:val="%1."/>
      <w:numFmt w:val="decimal"/>
      <w:start w:val="13"/>
    </w:lvl>
  </w:abstractNum>
  <w:abstractNum w:abstractNumId="112">
    <w:nsid w:val="34FD6B4F"/>
    <w:multiLevelType w:val="hybridMultilevel"/>
    <w:lvl w:ilvl="0">
      <w:lvlJc w:val="left"/>
      <w:lvlText w:val="(%1)"/>
      <w:numFmt w:val="lowerRoman"/>
      <w:start w:val="1"/>
    </w:lvl>
  </w:abstractNum>
  <w:abstractNum w:abstractNumId="113">
    <w:nsid w:val="5915FF32"/>
    <w:multiLevelType w:val="hybridMultilevel"/>
    <w:lvl w:ilvl="0">
      <w:lvlJc w:val="left"/>
      <w:lvlText w:val="%1."/>
      <w:numFmt w:val="decimal"/>
      <w:start w:val="14"/>
    </w:lvl>
  </w:abstractNum>
  <w:abstractNum w:abstractNumId="114">
    <w:nsid w:val="56438D15"/>
    <w:multiLevelType w:val="hybridMultilevel"/>
    <w:lvl w:ilvl="0">
      <w:lvlJc w:val="left"/>
      <w:lvlText w:val="(%1)"/>
      <w:numFmt w:val="lowerLetter"/>
      <w:start w:val="1"/>
    </w:lvl>
  </w:abstractNum>
  <w:abstractNum w:abstractNumId="115">
    <w:nsid w:val="519E3149"/>
    <w:multiLevelType w:val="hybridMultilevel"/>
    <w:lvl w:ilvl="0">
      <w:lvlJc w:val="left"/>
      <w:lvlText w:val="(%1)"/>
      <w:numFmt w:val="lowerLetter"/>
      <w:start w:val="8"/>
    </w:lvl>
    <w:lvl w:ilvl="1">
      <w:lvlJc w:val="left"/>
      <w:lvlText w:val="(%2)"/>
      <w:numFmt w:val="lowerLetter"/>
      <w:start w:val="9"/>
    </w:lvl>
  </w:abstractNum>
  <w:abstractNum w:abstractNumId="116">
    <w:nsid w:val="2C6E4AFD"/>
    <w:multiLevelType w:val="hybridMultilevel"/>
    <w:lvl w:ilvl="0">
      <w:lvlJc w:val="left"/>
      <w:lvlText w:val="(%1)"/>
      <w:numFmt w:val="lowerRoman"/>
      <w:start w:val="2"/>
    </w:lvl>
  </w:abstractNum>
  <w:abstractNum w:abstractNumId="117">
    <w:nsid w:val="17A1B582"/>
    <w:multiLevelType w:val="hybridMultilevel"/>
    <w:lvl w:ilvl="0">
      <w:lvlJc w:val="left"/>
      <w:lvlText w:val="(%1)"/>
      <w:numFmt w:val="lowerLetter"/>
      <w:start w:val="12"/>
    </w:lvl>
  </w:abstractNum>
  <w:abstractNum w:abstractNumId="118">
    <w:nsid w:val="4DF72E4E"/>
    <w:multiLevelType w:val="hybridMultilevel"/>
    <w:lvl w:ilvl="0">
      <w:lvlJc w:val="left"/>
      <w:lvlText w:val="(%1)"/>
      <w:numFmt w:val="lowerLetter"/>
      <w:start w:val="19"/>
    </w:lvl>
    <w:lvl w:ilvl="1">
      <w:lvlJc w:val="left"/>
      <w:lvlText w:val="(%2)"/>
      <w:numFmt w:val="lowerRoman"/>
      <w:start w:val="2"/>
    </w:lvl>
    <w:lvl w:ilvl="2">
      <w:lvlJc w:val="left"/>
      <w:lvlText w:val="(%3)"/>
      <w:numFmt w:val="lowerRoman"/>
      <w:start w:val="1"/>
    </w:lvl>
  </w:abstractNum>
  <w:abstractNum w:abstractNumId="119">
    <w:nsid w:val="5046B5A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120">
    <w:nsid w:val="5D888A08"/>
    <w:multiLevelType w:val="hybridMultilevel"/>
    <w:lvl w:ilvl="0">
      <w:lvlJc w:val="left"/>
      <w:lvlText w:val="(%1)"/>
      <w:numFmt w:val="lowerLetter"/>
      <w:start w:val="20"/>
    </w:lvl>
  </w:abstractNum>
  <w:abstractNum w:abstractNumId="121">
    <w:nsid w:val="2A082C70"/>
    <w:multiLevelType w:val="hybridMultilevel"/>
    <w:lvl w:ilvl="0">
      <w:lvlJc w:val="left"/>
      <w:lvlText w:val="(%1)"/>
      <w:numFmt w:val="lowerLetter"/>
      <w:start w:val="23"/>
    </w:lvl>
  </w:abstractNum>
  <w:abstractNum w:abstractNumId="122">
    <w:nsid w:val="5EC6AFD4"/>
    <w:multiLevelType w:val="hybridMultilevel"/>
    <w:lvl w:ilvl="0">
      <w:lvlJc w:val="left"/>
      <w:lvlText w:val="(%1)"/>
      <w:numFmt w:val="lowerLetter"/>
      <w:start w:val="24"/>
    </w:lvl>
  </w:abstractNum>
  <w:abstractNum w:abstractNumId="123">
    <w:nsid w:val="19E21BB2"/>
    <w:multiLevelType w:val="hybridMultilevel"/>
    <w:lvl w:ilvl="0">
      <w:lvlJc w:val="left"/>
      <w:lvlText w:val="(%1)"/>
      <w:numFmt w:val="lowerLetter"/>
      <w:start w:val="27"/>
    </w:lvl>
    <w:lvl w:ilvl="1">
      <w:lvlJc w:val="left"/>
      <w:lvlText w:val="(%2)"/>
      <w:numFmt w:val="lowerRoman"/>
      <w:start w:val="1"/>
    </w:lvl>
  </w:abstractNum>
  <w:abstractNum w:abstractNumId="124">
    <w:nsid w:val="75E0858A"/>
    <w:multiLevelType w:val="hybridMultilevel"/>
    <w:lvl w:ilvl="0">
      <w:lvlJc w:val="left"/>
      <w:lvlText w:val="(%1)"/>
      <w:numFmt w:val="lowerLetter"/>
      <w:start w:val="31"/>
    </w:lvl>
  </w:abstractNum>
  <w:abstractNum w:abstractNumId="125">
    <w:nsid w:val="57A61A29"/>
    <w:multiLevelType w:val="hybridMultilevel"/>
    <w:lvl w:ilvl="0">
      <w:lvlJc w:val="left"/>
      <w:lvlText w:val="(%1)"/>
      <w:numFmt w:val="lowerLetter"/>
      <w:start w:val="40"/>
    </w:lvl>
  </w:abstractNum>
  <w:abstractNum w:abstractNumId="126">
    <w:nsid w:val="5399C654"/>
    <w:multiLevelType w:val="hybridMultilevel"/>
    <w:lvl w:ilvl="0">
      <w:lvlJc w:val="left"/>
      <w:lvlText w:val="(%1)"/>
      <w:numFmt w:val="lowerLetter"/>
      <w:start w:val="42"/>
    </w:lvl>
  </w:abstractNum>
  <w:abstractNum w:abstractNumId="127">
    <w:nsid w:val="20EE1348"/>
    <w:multiLevelType w:val="hybridMultilevel"/>
    <w:lvl w:ilvl="0">
      <w:lvlJc w:val="left"/>
      <w:lvlText w:val="(%1)"/>
      <w:numFmt w:val="lowerLetter"/>
      <w:start w:val="50"/>
    </w:lvl>
  </w:abstractNum>
  <w:abstractNum w:abstractNumId="128">
    <w:nsid w:val="4427069A"/>
    <w:multiLevelType w:val="hybridMultilevel"/>
    <w:lvl w:ilvl="0">
      <w:lvlJc w:val="left"/>
      <w:lvlText w:val="(%1)"/>
      <w:numFmt w:val="lowerLetter"/>
      <w:start w:val="53"/>
    </w:lvl>
  </w:abstractNum>
  <w:abstractNum w:abstractNumId="129">
    <w:nsid w:val="B37E80A"/>
    <w:multiLevelType w:val="hybridMultilevel"/>
    <w:lvl w:ilvl="0">
      <w:lvlJc w:val="left"/>
      <w:lvlText w:val="(%1)"/>
      <w:numFmt w:val="lowerLetter"/>
      <w:start w:val="55"/>
    </w:lvl>
  </w:abstractNum>
  <w:abstractNum w:abstractNumId="130">
    <w:nsid w:val="2157F6BC"/>
    <w:multiLevelType w:val="hybridMultilevel"/>
    <w:lvl w:ilvl="0">
      <w:lvlJc w:val="left"/>
      <w:lvlText w:val="(%1)"/>
      <w:numFmt w:val="lowerLetter"/>
      <w:start w:val="60"/>
    </w:lvl>
  </w:abstractNum>
  <w:abstractNum w:abstractNumId="131">
    <w:nsid w:val="704E1DD5"/>
    <w:multiLevelType w:val="hybridMultilevel"/>
    <w:lvl w:ilvl="0">
      <w:lvlJc w:val="left"/>
      <w:lvlText w:val="(%1)"/>
      <w:numFmt w:val="lowerLetter"/>
      <w:start w:val="69"/>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
      <w:numFmt w:val="bullet"/>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2022-04-14T07:03:26Z</dcterms:created>
  <dcterms:modified xsi:type="dcterms:W3CDTF">2022-04-14T07:03:26Z</dcterms:modified>
</cp:coreProperties>
</file>