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3"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4"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ectPr>
          <w:pgSz w:w="11900" w:h="16838" w:orient="portrait"/>
          <w:cols w:equalWidth="0" w:num="1">
            <w:col w:w="11240"/>
          </w:cols>
          <w:pgMar w:left="320" w:top="1380" w:right="339" w:bottom="966" w:gutter="0" w:footer="0" w:header="0"/>
        </w:sectPr>
      </w:pPr>
    </w:p>
    <w:p>
      <w:pPr>
        <w:spacing w:after="0" w:line="9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45-4180440</w:t>
      </w:r>
    </w:p>
    <w:p>
      <w:pPr>
        <w:spacing w:after="0" w:line="211" w:lineRule="exact"/>
        <w:rPr>
          <w:sz w:val="24"/>
          <w:szCs w:val="24"/>
          <w:color w:val="auto"/>
        </w:rPr>
      </w:pPr>
    </w:p>
    <w:p>
      <w:pPr>
        <w:sectPr>
          <w:pgSz w:w="11900" w:h="16838" w:orient="portrait"/>
          <w:cols w:equalWidth="0" w:num="2">
            <w:col w:w="7320" w:space="720"/>
            <w:col w:w="3200"/>
          </w:cols>
          <w:pgMar w:left="320" w:top="1380" w:right="339" w:bottom="966" w:gutter="0" w:footer="0" w:header="0"/>
          <w:type w:val="continuous"/>
        </w:sectPr>
      </w:pPr>
    </w:p>
    <w:p>
      <w:pPr>
        <w:spacing w:after="0" w:line="2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00" w:lineRule="exact"/>
        <w:rPr>
          <w:sz w:val="24"/>
          <w:szCs w:val="24"/>
          <w:color w:val="auto"/>
        </w:rPr>
      </w:pPr>
    </w:p>
    <w:p>
      <w:pPr>
        <w:sectPr>
          <w:pgSz w:w="11900" w:h="16838" w:orient="portrait"/>
          <w:cols w:equalWidth="0" w:num="2">
            <w:col w:w="6500" w:space="720"/>
            <w:col w:w="4020"/>
          </w:cols>
          <w:pgMar w:left="320" w:top="1380" w:right="339" w:bottom="966" w:gutter="0" w:footer="0" w:header="0"/>
          <w:type w:val="continuous"/>
        </w:sectPr>
      </w:pP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19 S. B Street, Suite 9, San Mateo, California 94401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55 Hawthorne Street, 10th Floor, San Francisco, California 94105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380" w:right="339" w:bottom="966" w:gutter="0" w:footer="0" w:header="0"/>
          <w:type w:val="continuous"/>
        </w:sectPr>
      </w:pPr>
    </w:p>
    <w:p>
      <w:pPr>
        <w:spacing w:after="0" w:line="5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3800" w:space="720"/>
            <w:col w:w="2000" w:space="720"/>
            <w:col w:w="4000"/>
          </w:cols>
          <w:pgMar w:left="320" w:top="1380" w:right="339" w:bottom="966" w:gutter="0" w:footer="0" w:header="0"/>
          <w:type w:val="continuous"/>
        </w:sectPr>
      </w:pPr>
    </w:p>
    <w:p>
      <w:pPr>
        <w:spacing w:after="0" w:line="3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Class A common stock, $.0001 par value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NRDS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Nasdaq Global Market</w:t>
      </w:r>
    </w:p>
    <w:p>
      <w:pPr>
        <w:spacing w:after="0" w:line="200" w:lineRule="exact"/>
        <w:rPr>
          <w:sz w:val="24"/>
          <w:szCs w:val="24"/>
          <w:color w:val="auto"/>
        </w:rPr>
      </w:pPr>
    </w:p>
    <w:p>
      <w:pPr>
        <w:sectPr>
          <w:pgSz w:w="11900" w:h="16838" w:orient="portrait"/>
          <w:cols w:equalWidth="0" w:num="3">
            <w:col w:w="4240" w:space="720"/>
            <w:col w:w="2200" w:space="720"/>
            <w:col w:w="3360"/>
          </w:cols>
          <w:pgMar w:left="320" w:top="1380" w:right="339" w:bottom="966" w:gutter="0" w:footer="0" w:header="0"/>
          <w:type w:val="continuous"/>
        </w:sectPr>
      </w:pP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7" w:lineRule="exact"/>
        <w:rPr>
          <w:sz w:val="24"/>
          <w:szCs w:val="24"/>
          <w:color w:val="auto"/>
        </w:rPr>
      </w:pPr>
    </w:p>
    <w:p>
      <w:pPr>
        <w:ind w:right="2100"/>
        <w:spacing w:after="0" w:line="285"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 w:lineRule="exact"/>
        <w:rPr>
          <w:sz w:val="24"/>
          <w:szCs w:val="24"/>
          <w:color w:val="auto"/>
        </w:rPr>
      </w:pPr>
    </w:p>
    <w:p>
      <w:pPr>
        <w:jc w:val="both"/>
        <w:spacing w:after="0" w:line="26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9"/>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0"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 w:lineRule="exact"/>
        <w:rPr>
          <w:sz w:val="24"/>
          <w:szCs w:val="24"/>
          <w:color w:val="auto"/>
        </w:rPr>
      </w:pPr>
    </w:p>
    <w:p>
      <w:pPr>
        <w:jc w:val="both"/>
        <w:ind w:right="20"/>
        <w:spacing w:after="0" w:line="241"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5" w:lineRule="exact"/>
        <w:rPr>
          <w:sz w:val="24"/>
          <w:szCs w:val="24"/>
          <w:color w:val="auto"/>
        </w:rPr>
      </w:pPr>
    </w:p>
    <w:p>
      <w:pPr>
        <w:jc w:val="both"/>
        <w:ind w:right="20"/>
        <w:spacing w:after="0" w:line="234"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96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As of June 30, 2025 (the last business day of the registrant’s most recently completed second fiscal quarter), the aggregate market value of the common stock held by non-affiliates of the registrant was approximately $349 million based upon the closing price of such shares on the Nasdaq Global Market on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35,100,146 shares of Class A common stock and 31,685,652 shares of Class B common stock as of February 23, 2026.</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2026 Annual Meeting of Stockholders (the “Proxy Statement”), to be filed within 120 days of the registrant’s fiscal year ended December 31, 2025,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1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88"/>
              </w:rPr>
              <w:t>3</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 Business</w:t>
            </w:r>
          </w:p>
        </w:tc>
        <w:tc>
          <w:tcPr>
            <w:tcW w:w="1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88"/>
              </w:rPr>
              <w:t>3</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1A. Risk Factors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10</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1C. Cybersecurity</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36</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2. Properties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37</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37</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37</w:t>
            </w:r>
          </w:p>
        </w:tc>
      </w:tr>
      <w:tr>
        <w:trPr>
          <w:trHeight w:val="432"/>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38</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38</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6. [Reserved]</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39</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40</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52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54</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84</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84</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85</w:t>
            </w:r>
          </w:p>
        </w:tc>
      </w:tr>
      <w:tr>
        <w:trPr>
          <w:trHeight w:val="432"/>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86</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86</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16. Form 10-K Summary</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88</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Signatures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89</w:t>
            </w:r>
          </w:p>
        </w:tc>
      </w:tr>
      <w:tr>
        <w:trPr>
          <w:trHeight w:val="1330"/>
        </w:trPr>
        <w:tc>
          <w:tcPr>
            <w:tcW w:w="9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significant risks and uncertainties. Except for statements of historical facts, all statements contained in this Annual Report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spacing w:after="0" w:line="129"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developments, including inflation, interest rates, credit market conditions and general economic uncertainty, on our business, operating results, financial condition, and stock price;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financial and operational performance, including total revenue, cost of revenue, non-GAAP operating income (loss) and adjusted EBITDA;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engagement, and monetization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and SMB demand for products and services offered through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user registrations, improve repeat usage rates, and convert users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within existing and new verticals, including new products, services, and features that are competitive, compliant with applicable regulations, and responsive to market needs;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geographic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relationships with existing financial services partners and identifying new ones;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scalable technology and data capabilities to provide personalized guidance and enhance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brand awareness, credibility, and consumer and SMB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high quality, engaging consumer and SMB content and tools;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evolving consumer and SMB financial interests and behaviors;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in existing and new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security, reliability,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enhancing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developing, and retaining highly skilled and diverse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laws, regulations, and supervisory expectations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cash equivalents, and investments to meet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growth, scaling infrastructure, and preserving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executing, and successfully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financial services markets, and meeting associated regulatory complexities;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expected synergies, accretion, and other benefits from completed acquisitions.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and should not be relied upon as predictions of future events. They are based on our current expectations, estimates, and projections regarding future events and trends that may affect our business, financial condition, and operating results. These expectations are subject to various risks, uncertainties, and assumptions, including those described in the section titled “Risk Factors” and elsewhere in this Annual Report.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industry is highly competitive and rapidly evolving, and new risks and uncertainties may arise that we cannot predict. As a result, actual results, events, or circumstances may differ materially from those reflected in our forward-looking statements.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Annual Report speak only as of the date hereof. We undertake no obligation to update any such statements to reflect subsequent events, new information, or unexpected developments, except as required by law. These statements also do not reflect potential impacts from future acquisitions, mergers, dispositions, joint ventures, or investments.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statements that include “we believe” or similar expressions represent our beliefs and opinions as of the date of this Annual Report.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NerdWallet, Inc. (NerdWallet, the Company, we, our, or us) provides consumers and small and mid-sized businesses (SMBs) with trusted guidance across a broad range of finance topics through a digital platform that integrates independent editorial content, comparison tools, data-driven product marketplaces, and access to regulated financial services offered through our subsidiaries. Our mission is to provide clarity for all of life’s financial decisions. Our vision is a world where everyone makes financial decisions with confidence.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platform enables users to compare financial products, access educational resources, receive personalized insights, and connect with third-party providers across credit cards, banking, insurance, lending, investing, wealth management, and other financial categories. We generate revenue primarily through referral fees, lead generation, and partner-based monetization, as well as through revenue derived from brokering and advisory services. Our business model is designed to be partner-neutral and to support transparent consumer and SMB choice by offering side-by-side comparisons and insightful information supported by editorial standards.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NerdWallet operates in the United States, Canada, and the United Kingdom. We are a remote-first company with our primary corporate offices located in San Mateo, California and Scottsdale, Arizona, and we maintain hub offices in several major metropolitan areas across the United States. Our global subsidiaries support localized content, compliance oversight, product integrations, and technology development.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platform comprises three primary components:</w:t>
      </w:r>
    </w:p>
    <w:p>
      <w:pPr>
        <w:spacing w:after="0" w:line="167" w:lineRule="exact"/>
        <w:rPr>
          <w:sz w:val="20"/>
          <w:szCs w:val="20"/>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Editorial and Content Publishing</w:t>
      </w:r>
      <w:r>
        <w:rPr>
          <w:rFonts w:ascii="Times New Roman" w:cs="Times New Roman" w:eastAsia="Times New Roman" w:hAnsi="Times New Roman"/>
          <w:sz w:val="18"/>
          <w:szCs w:val="18"/>
          <w:color w:val="auto"/>
        </w:rPr>
        <w:t>—Consumer and SMB financial education, tools, calculators, guides, and research published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“NerdWallet” brand across web, mobile, and third-party channels.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Marketplace and Referral Services</w:t>
      </w:r>
      <w:r>
        <w:rPr>
          <w:rFonts w:ascii="Times New Roman" w:cs="Times New Roman" w:eastAsia="Times New Roman" w:hAnsi="Times New Roman"/>
          <w:sz w:val="18"/>
          <w:szCs w:val="18"/>
          <w:color w:val="auto"/>
        </w:rPr>
        <w:t>—Tools that enable users to compare, pre-qualify for, or connect with third-party providers of credit cards,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loans, small business loans, insurance, mortgages, financial services, and related products. These services include those provided through Fundera, NerdWallet Insurance Services, NerdWallet Advisory, and NerdWallet Compare.</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Services</w:t>
      </w:r>
      <w:r>
        <w:rPr>
          <w:rFonts w:ascii="Times New Roman" w:cs="Times New Roman" w:eastAsia="Times New Roman" w:hAnsi="Times New Roman"/>
          <w:sz w:val="18"/>
          <w:szCs w:val="18"/>
          <w:color w:val="auto"/>
        </w:rPr>
        <w:t>—Brokerage and advisory services provided by our insurance agency, loan and mortgage brokerages, and investment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serve millions of monthly users who rely on our platform to make informed financial decisions. Our technology, data infrastructure, and partner relationships enable us to deliver personalized experiences, facilitate financial product applications, and help both consumers and SMBs navigate complex financial products.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revenue was $836.6 million and $687.6 million for 2025 and 2024, respectively, representing year-over-year growth of 22%. We generated net income of $48.7 million and $30.4 million for 2025 and 2024, respectively, representing year-over-year growth of 60%.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Platform and Ecosystem</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platform offers consumers and SMBs clear, reliable information about financial products and services, along with tools and guidance to support informed financial decisions. We combine independent editorial content, product data, user-specific insights, and technology-enabled tools to deliver personalized user experiences across desktop and mobile environments. Our ecosystem integrates content, marketplaces, and regulated financial services under a unified architecture that supports discovery, comparison, application, referral, and engagement across multiple financial categories.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Content and Tools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editorial team produces independent reviews, product comparisons, articles, guides, calculators, and other resources covering a broad range of personal finance topics. These materials are designed to help users understand financial products, evaluate tradeoffs, and identify solutions that may be appropriate for their circumstances. We maintain editorial standards intended to ensure accuracy, clarity, and impartiality. Our tools include credit score monitoring, spending and asset accumulation insights, pre-qualification workflows, mortgage, loan, and financial calculators, and decision-support questionnaires.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b w:val="1"/>
          <w:bCs w:val="1"/>
          <w:color w:val="auto"/>
        </w:rPr>
        <w:t>Marketplace Infrastructure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operate multiple financial product marketplaces that enable users to compare products or connect with third-party providers and some of the financial service activities that we offer. These marketplaces leverage partner integrations, real-time data, and matching algorithms to facilitate product discovery and application experiences. Our core marketplace categories include:</w:t>
      </w:r>
    </w:p>
    <w:p>
      <w:pPr>
        <w:spacing w:after="0" w:line="14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Credit cards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Consumer loans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Small business financing</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Home lending products and services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Insurance products and providers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Banking products and deposit accounts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Investment and retirement products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Financial advisor matching</w:t>
      </w:r>
    </w:p>
    <w:p>
      <w:pPr>
        <w:spacing w:after="0" w:line="158" w:lineRule="exact"/>
        <w:rPr>
          <w:sz w:val="20"/>
          <w:szCs w:val="20"/>
          <w:color w:val="auto"/>
        </w:rPr>
      </w:pPr>
    </w:p>
    <w:p>
      <w:pPr>
        <w:ind w:left="340" w:right="260"/>
        <w:spacing w:after="0" w:line="438" w:lineRule="auto"/>
        <w:rPr>
          <w:sz w:val="20"/>
          <w:szCs w:val="20"/>
          <w:color w:val="auto"/>
        </w:rPr>
      </w:pPr>
      <w:r>
        <w:rPr>
          <w:rFonts w:ascii="Times New Roman" w:cs="Times New Roman" w:eastAsia="Times New Roman" w:hAnsi="Times New Roman"/>
          <w:sz w:val="18"/>
          <w:szCs w:val="18"/>
          <w:color w:val="auto"/>
        </w:rPr>
        <w:t xml:space="preserve">These marketplaces generate revenue primarily through referral fees, partner marketing arrangements, and lead-generation compensation structures. </w:t>
      </w:r>
      <w:r>
        <w:rPr>
          <w:rFonts w:ascii="Times New Roman" w:cs="Times New Roman" w:eastAsia="Times New Roman" w:hAnsi="Times New Roman"/>
          <w:sz w:val="18"/>
          <w:szCs w:val="18"/>
          <w:b w:val="1"/>
          <w:bCs w:val="1"/>
          <w:color w:val="auto"/>
        </w:rPr>
        <w:t>Financial Services</w:t>
      </w:r>
    </w:p>
    <w:p>
      <w:pPr>
        <w:spacing w:after="0" w:line="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support certain financial service activities through wholly-owned and indirectly-owned subsidiaries that provide services under applicable regulatory regimes.</w:t>
      </w:r>
    </w:p>
    <w:p>
      <w:pPr>
        <w:spacing w:after="0" w:line="104" w:lineRule="exact"/>
        <w:rPr>
          <w:sz w:val="20"/>
          <w:szCs w:val="20"/>
          <w:color w:val="auto"/>
        </w:rPr>
      </w:pPr>
    </w:p>
    <w:p>
      <w:pPr>
        <w:ind w:left="66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 Door Lending, LLC (NDL) </w:t>
      </w:r>
      <w:r>
        <w:rPr>
          <w:rFonts w:ascii="Times New Roman" w:cs="Times New Roman" w:eastAsia="Times New Roman" w:hAnsi="Times New Roman"/>
          <w:sz w:val="18"/>
          <w:szCs w:val="18"/>
          <w:color w:val="auto"/>
        </w:rPr>
        <w:t>provides mortgage brokerage and origination services to consumers. NDL does not service mortgage loans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mortgage loans for more than 30 days.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NerdWallet Advisory LLC </w:t>
      </w:r>
      <w:r>
        <w:rPr>
          <w:rFonts w:ascii="Times New Roman" w:cs="Times New Roman" w:eastAsia="Times New Roman" w:hAnsi="Times New Roman"/>
          <w:sz w:val="18"/>
          <w:szCs w:val="18"/>
          <w:color w:val="auto"/>
        </w:rPr>
        <w:t>is an SEC-registered investment adviser that operates our financial advisor marketplace. It provides matching,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referral, and lead-generation services to consumers seeking full-service investment advisers. NerdWallet Advisory does not provide fiduciary investment advisory services, personalized investment advice, investment recommendations, or discretionary or non-discretionary investment management services to consumers.</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NerdWallet Wealth Partners, LLC </w:t>
      </w:r>
      <w:r>
        <w:rPr>
          <w:rFonts w:ascii="Times New Roman" w:cs="Times New Roman" w:eastAsia="Times New Roman" w:hAnsi="Times New Roman"/>
          <w:sz w:val="18"/>
          <w:szCs w:val="18"/>
          <w:color w:val="auto"/>
        </w:rPr>
        <w:t>is an SEC-registered investment adviser that provides fiduciary investment advisory services,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planning and discretionary investment management. These services are delivered through dedicated advisory personnel and operate separately from our content and marketplace functions. NerdWallet Wealth Partners is structured to mitigate potential conflicts of interest with its clients and, among other things, does not offer proprietary financial products, sponsor investment funds, or act as a custodian for client assets.</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NerdWallet Insurance Experts, LLC </w:t>
      </w:r>
      <w:r>
        <w:rPr>
          <w:rFonts w:ascii="Times New Roman" w:cs="Times New Roman" w:eastAsia="Times New Roman" w:hAnsi="Times New Roman"/>
          <w:sz w:val="18"/>
          <w:szCs w:val="18"/>
          <w:color w:val="auto"/>
        </w:rPr>
        <w:t>is an insurance agency that provides brokerage services to assist consumers in obtaining and comparing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products, including facilitating connections with licensed carriers or agents, data collection through online discovery questionnaires, and limited origination support. NerdWallet Insurance Experts does not bind coverage, administer policies, collect premiums, or adjust claims.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Technology and Data Capabilities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platform relies on proprietary technology that supports data ingestion, partner integrations, user segmentation, product ranking, and personalized insights. We use machine learning and rules-based systems to improve marketplace matching, predict user intent, and optimize performance for both users and partners. Our infrastructure is built to support high-volume traffic, multi-region content delivery, and secure handling of consumer and SMB information.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invest in data quality, compliance monitoring, partner-performance analytics, and product metadata to maintain accurate comparisons and transparent disclosures.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Partner Ecosystem</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work with a broad range of financial institutions, including banks, lenders, credit card issuers, insurance carriers, broker-dealers, investment advisers, and other providers. Our relationships include integration of application programming interfaces (APIs), data-exchange connections, marketing partnerships, and agreements governing referrals or introductions. We maintain processes to monitor partner practices, regulatory changes, and compliance requirements applicable to referral arrangements and advertising partnerships.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b w:val="1"/>
          <w:bCs w:val="1"/>
          <w:color w:val="auto"/>
        </w:rPr>
        <w:t>User Engagement and Distribution Channels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Users interact with our platform through web and mobile properties, email communications, APIs, partner-hosted integrations, and third-party search and social media channels. Our mobile app provides additional tools for tracking finances, credit performance, spending patterns, and progress toward financial goals. We supplement direct channels with performance marketing, organic search, and partnerships that extend the reach of our content and marketplaces.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a broad set of products and services designed to help consumers and SMBs make informed financial decisions and connect with third-party providers of financial products. Our offerings span content publishing, technology-enabled tools, financial product marketplaces, mortgage brokering services, and regulated investment advisory services.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Content, Tools, and Consumer and SMB Education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publish editorial content, reviews, product comparisons, research articles, financial guides, calculators, and decision-support tools that cover a wide range of consumer and SMB finance topics, including credit, lending, insurance, banking, investing, retirement planning, taxes, and household budgeting. This content is produced independently and is intended to help users understand financial products, evaluate potential options, and take appropriate actions. Our tools include credit score monitoring, spending insights, personalized recommendations, application checklists, calculators, and product-matching questionnaires.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Marketplaces and Referral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includes technology-enabled marketplaces that allow users to compare financial products, access pre-qualification tools, or connect with third-party providers. We generate revenue from referral fees, lead-generation arrangements, partner marketing programs, and related compensation models. Our key marketplace categories include:</w:t>
      </w:r>
    </w:p>
    <w:p>
      <w:pPr>
        <w:spacing w:after="0" w:line="11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Card Marketplace</w:t>
      </w:r>
      <w:r>
        <w:rPr>
          <w:rFonts w:ascii="Times New Roman" w:cs="Times New Roman" w:eastAsia="Times New Roman" w:hAnsi="Times New Roman"/>
          <w:sz w:val="18"/>
          <w:szCs w:val="18"/>
          <w:color w:val="auto"/>
        </w:rPr>
        <w:t>—Offers comparison tools, pre-qualification workflows, and introductions to issuing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Personal Loan Marketplace</w:t>
      </w:r>
      <w:r>
        <w:rPr>
          <w:rFonts w:ascii="Times New Roman" w:cs="Times New Roman" w:eastAsia="Times New Roman" w:hAnsi="Times New Roman"/>
          <w:sz w:val="18"/>
          <w:szCs w:val="18"/>
          <w:color w:val="auto"/>
        </w:rPr>
        <w:t>—Provides comparison, rate-shopping tools, and introductions to lending partners.</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Small Business Financing Marketplace (Fundera)</w:t>
      </w:r>
      <w:r>
        <w:rPr>
          <w:rFonts w:ascii="Times New Roman" w:cs="Times New Roman" w:eastAsia="Times New Roman" w:hAnsi="Times New Roman"/>
          <w:sz w:val="18"/>
          <w:szCs w:val="18"/>
          <w:color w:val="auto"/>
        </w:rPr>
        <w:t>—Assists SMBs with lender matching, product comparisons, intake support,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introductions to financing partners.</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Banking Marketplace</w:t>
      </w:r>
      <w:r>
        <w:rPr>
          <w:rFonts w:ascii="Times New Roman" w:cs="Times New Roman" w:eastAsia="Times New Roman" w:hAnsi="Times New Roman"/>
          <w:sz w:val="18"/>
          <w:szCs w:val="18"/>
          <w:color w:val="auto"/>
        </w:rPr>
        <w:t>—Enables users to discover deposit products, high-yield savings accounts, certificates of deposit, and other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 Marketplace (NerdWallet Insurance Services, Inc.)</w:t>
      </w:r>
      <w:r>
        <w:rPr>
          <w:rFonts w:ascii="Times New Roman" w:cs="Times New Roman" w:eastAsia="Times New Roman" w:hAnsi="Times New Roman"/>
          <w:sz w:val="18"/>
          <w:szCs w:val="18"/>
          <w:color w:val="auto"/>
        </w:rPr>
        <w:t>—Provides quote comparison tools and introductions to carriers and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professionals.</w:t>
      </w:r>
    </w:p>
    <w:p>
      <w:pPr>
        <w:spacing w:after="0" w:line="100"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Advisor Marketplace (NerdWallet Advisory LLC)</w:t>
      </w:r>
      <w:r>
        <w:rPr>
          <w:rFonts w:ascii="Times New Roman" w:cs="Times New Roman" w:eastAsia="Times New Roman" w:hAnsi="Times New Roman"/>
          <w:sz w:val="18"/>
          <w:szCs w:val="18"/>
          <w:color w:val="auto"/>
        </w:rPr>
        <w:t>—Connects consumers with independent investment advisers through matching,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referral, and lead-generation services. NerdWallet Advisory does not provide personalized investment advice or portfolio management services to users.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Consumer and SMB Finance Marketplaces</w:t>
      </w:r>
      <w:r>
        <w:rPr>
          <w:rFonts w:ascii="Times New Roman" w:cs="Times New Roman" w:eastAsia="Times New Roman" w:hAnsi="Times New Roman"/>
          <w:sz w:val="18"/>
          <w:szCs w:val="18"/>
          <w:color w:val="auto"/>
        </w:rPr>
        <w:t>—Includes debt-related education and enrollment support services, student loans, auto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emerging financial product categories.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marketplaces provide consumers and SMBs with transparent comparisons and streamlined access to third-party providers while enabling partners to acquire users efficiently.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Mortgage Brokering (Next Door Lending LLC)</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mortgage brokering activities through NDL, a wholly-owned subsidiary licensed under applicable state laws. NDL provides consumer introductions, matching, and application routing to third-party mortgage lenders and supports certain intake and disclosure facilitation activities. NDL does not service mortgage loans or hold mortgage loans for more than 30 days.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Wealth Management (NerdWallet Wealth Partners, LLC)</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provide traditional wealth management services through NerdWallet Wealth Partners, LLC, an SEC-registered investment adviser that offers financial planning, discretionary investment management, and related advisory services.</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b w:val="1"/>
          <w:bCs w:val="1"/>
          <w:color w:val="auto"/>
        </w:rPr>
        <w:t>Insurance (NerdWallet Insurance Experts, LLC)</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 insurance agency services where producers assist consumers in obtaining and comparing quotes and connecting with licensed carriers.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NerdWallet Insurance Experts, LLC does not bind coverage, administer policies, collect premiums, or adjust claims.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Data, Analytics, and Integration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support certain partners with data-driven insights, API integrations, product metadata, and analytical tools that improve product performance, underwriting decision workflows, customer acquisition efficiency, and user experience. These offerings are incidental to our core marketplace services and are used to support partner integrations and optimize referral quality.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Customer Support and Ancillary 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customer support, onboarding assistance, and intake-related services in connection with our marketplaces, mortgage brokering operations, insurance quote procurement, and advisor-matching services. These activities include clarifying application processes, collecting required information, or facilitating the routing of consumers and SMBs to third-party providers. We do not underwrite financial products, make credit decisions, service loans, bind insurance coverage, administer insurance policies, collect premiums, or adjust claims.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7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NerdWallet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and SMBs with clarity and confidence. As of December 31, 2025, we had over 650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of which approximately 95% are located throughout the United States and 5% are located internationally. None of our employees are represented by a labor union or covered by collective bargaining agreements. We consider our relationship with our employees to be good and have not experienced any work stoppages.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Belonging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NerdWallet, we aspire to provide people with the confidence they need to live their best lives—however they identify. For our consumers and SMBs, this means building their financial confidence. For our Nerds, this means fostering an inclusive culture that allows all Nerds to be their authentic selves, grow their skills, contribute, and thrive with the confidence of belonging. Belonging efforts are centered around ensuring we are building a diverse organization across all business aspects and creating an inclusive culture where everyone is engaged and empowered to do their best work. Our key initiatives include:</w:t>
      </w:r>
    </w:p>
    <w:p>
      <w:pPr>
        <w:spacing w:after="0" w:line="1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learning sessions and resources for Nerds and managers to help build an inclusive workplace.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We support seven employee-led employee resource groups (ERGs) that provide community, connection, and development opportunities for employees and their allies: NerdOut, NerdFamilies, NerdWomen, Asian Nerds, Black Nerds Network, Viva Nerds, and Women in Data and Engineering. While each ERG centers on a specific community, all groups are open to all Nerds.</w:t>
      </w:r>
    </w:p>
    <w:p>
      <w:pPr>
        <w:spacing w:after="0" w:line="121" w:lineRule="exact"/>
        <w:rPr>
          <w:rFonts w:ascii="Times New Roman" w:cs="Times New Roman" w:eastAsia="Times New Roman" w:hAnsi="Times New Roman"/>
          <w:sz w:val="18"/>
          <w:szCs w:val="18"/>
          <w:color w:val="auto"/>
          <w:strike w:val="1"/>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third-party platform to analyze our employee salaries to ensure pay parity.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offer a variety of engagement opportunities to inspire and encourage Nerds to learn,grow and give back to their communities. This year, we held two Nerds Pay It Forward events, freeing up time in support of employee volunteerism on dedicated volunteer days to encourage all NerdWallet employees to give back to their communities. In all, Nerds donated over 850 hours during these events.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Talent Attraction, Recruitment and Retention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remote-first culture allows us to reach, attract and retain more diverse talent across all levels of our organization. Attracting and retaining highly skilled, diverse talent is absolutely critical to our success as a business and to fully realizing NerdWallet’s mission. Once employees are at NerdWallet we invest in their well-being and development offering competitive compensation and benefits, opportunities for career growth, and inclusion and belonging programming.</w:t>
      </w:r>
    </w:p>
    <w:p>
      <w:pPr>
        <w:spacing w:after="0" w:line="124" w:lineRule="exact"/>
        <w:rPr>
          <w:sz w:val="20"/>
          <w:szCs w:val="20"/>
          <w:color w:val="auto"/>
        </w:rPr>
      </w:pPr>
    </w:p>
    <w:p>
      <w:pPr>
        <w:jc w:val="both"/>
        <w:ind w:left="66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and Operational Readiness </w:t>
      </w:r>
      <w:r>
        <w:rPr>
          <w:rFonts w:ascii="Times New Roman" w:cs="Times New Roman" w:eastAsia="Times New Roman" w:hAnsi="Times New Roman"/>
          <w:sz w:val="18"/>
          <w:szCs w:val="18"/>
          <w:color w:val="auto"/>
        </w:rPr>
        <w:t>- Aligned with our Relentless Self-Improvement value, we encourage employees to pursue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growth. We support this through in-house development opportunities, including job shadowing and asynchronous learning via our learning management system (LMS, Juno), which offers both in-house and external trainings focused on upskilling and career readiness.</w:t>
      </w:r>
    </w:p>
    <w:p>
      <w:pPr>
        <w:spacing w:after="0" w:line="12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intentionally moved away from a centralized learning and development model in favor of learning by doing and targeted enablement aligned with business needs. This approach is complemented by flexible, asynchronous training opportunities, with a particular focus on strengthening manager capabilities and supporting the responsible integration of AI into day-to-day operations.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 NerdWallet offers market-competitive compensation to attract employees. Our pay-for-performance philosophy aligns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rewards with individual and company performance. To further align employees with the long-term success of the Company, we grant equity-based compensation to the majority of full-time employees upon hire and through annual performance equity grants.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Benefits and Perks </w:t>
      </w:r>
      <w:r>
        <w:rPr>
          <w:rFonts w:ascii="Times New Roman" w:cs="Times New Roman" w:eastAsia="Times New Roman" w:hAnsi="Times New Roman"/>
          <w:sz w:val="18"/>
          <w:szCs w:val="18"/>
          <w:color w:val="auto"/>
        </w:rPr>
        <w:t>-To attract, engage and retain employees and support their overall health and well-being, we provide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benefits and perks program, which includes medical, dental, vision, life and disability insurance; flexible paid vacation and sick time, flexible work schedules, and a sabbatical program; mental health benefits and a Company shutdown at the end of the calendar year; a Remote-first work environment with wellness and remote-work stipends; parental leave and adoption assistance, country-specific retirement or pension plans, including a matching contribution to U.S. 401(k) plan contributions; an Employee Stock Purchase Plan (ESPP) ;access to financial wellness guidance from certified financial planners; spot and referral bonus opportunities; and a charitable matching program and volunteer time off.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built a scaled and highly differentiated online platform. We face competition from both online and offline financial guidance providers in the following primary categories:</w:t>
      </w:r>
    </w:p>
    <w:p>
      <w:pPr>
        <w:spacing w:after="0" w:line="15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advisors, agents, and brokers </w:t>
      </w:r>
      <w:r>
        <w:rPr>
          <w:rFonts w:ascii="Times New Roman" w:cs="Times New Roman" w:eastAsia="Times New Roman" w:hAnsi="Times New Roman"/>
          <w:sz w:val="18"/>
          <w:szCs w:val="18"/>
          <w:color w:val="auto"/>
        </w:rPr>
        <w:t>who provide guidance and expertise as part of their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Traditional media </w:t>
      </w:r>
      <w:r>
        <w:rPr>
          <w:rFonts w:ascii="Times New Roman" w:cs="Times New Roman" w:eastAsia="Times New Roman" w:hAnsi="Times New Roman"/>
          <w:sz w:val="18"/>
          <w:szCs w:val="18"/>
          <w:color w:val="auto"/>
        </w:rPr>
        <w:t>such as The New York Times, U.S. News &amp; World Report and other print and broadcast media;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Friends and family</w:t>
      </w:r>
      <w:r>
        <w:rPr>
          <w:rFonts w:ascii="Times New Roman" w:cs="Times New Roman" w:eastAsia="Times New Roman" w:hAnsi="Times New Roman"/>
          <w:sz w:val="18"/>
          <w:szCs w:val="18"/>
          <w:color w:val="auto"/>
        </w:rPr>
        <w:t>, as many consumers consult friends and family for financial guidance;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Influencers on social media platforms</w:t>
      </w:r>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Traditional financial and depository institutions, non-bank loan originators and other small and medium-sized mortgage brokers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compete with the following for advertising budgets designated for financial products:</w:t>
      </w:r>
    </w:p>
    <w:p>
      <w:pPr>
        <w:spacing w:after="0" w:line="167" w:lineRule="exact"/>
        <w:rPr>
          <w:sz w:val="20"/>
          <w:szCs w:val="20"/>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services providers’ own marketing</w:t>
      </w:r>
      <w:r>
        <w:rPr>
          <w:rFonts w:ascii="Times New Roman" w:cs="Times New Roman" w:eastAsia="Times New Roman" w:hAnsi="Times New Roman"/>
          <w:sz w:val="18"/>
          <w:szCs w:val="18"/>
          <w:color w:val="auto"/>
        </w:rPr>
        <w:t>: Financial services providers connect directly through many different channels, digitally (in-app,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etc.) and offline channels (direct mail, printed media, etc.);</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search engines</w:t>
      </w:r>
      <w:r>
        <w:rPr>
          <w:rFonts w:ascii="Times New Roman" w:cs="Times New Roman" w:eastAsia="Times New Roman" w:hAnsi="Times New Roman"/>
          <w:sz w:val="18"/>
          <w:szCs w:val="18"/>
          <w:color w:val="auto"/>
        </w:rPr>
        <w:t>: Financial services providers spend advertising budgets with online search engines, primarily Google AdWords, as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and SMBs turn to Google to answer their finance questions; and</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marketplaces </w:t>
      </w:r>
      <w:r>
        <w:rPr>
          <w:rFonts w:ascii="Times New Roman" w:cs="Times New Roman" w:eastAsia="Times New Roman" w:hAnsi="Times New Roman"/>
          <w:sz w:val="18"/>
          <w:szCs w:val="18"/>
          <w:color w:val="auto"/>
        </w:rPr>
        <w:t>including Bankrate, Credit Karma, LendingTree and Zillow.</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compete favorably due to the breadth and depth of our financial guidance, the trust we’ve built with our consumers and SMBs, and our brand, organic traffic, convenience and simplicity.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a combination of trademark, copyright, trade secret, and other intellectual property laws, as well as contractual protections, to establish and protect our proprietary rights. These protections include trademark and copyright registrations, license and intellectual property assignment agreements, confidentiality procedures, and non-disclosure and invention assignment agreements with employees and contractors. The scope and duration of protection afforded to our intellectual property vary by type of intellectual property and by jurisdiction.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hold trademark rights in our name, logo, and other brand indicia, including trademark registrations in the U.S. and certain foreign jurisdictions, and we maintain registered domain names for websites used in our business. We also rely on unregistered rights and common law protections in the U.S. and other jurisdictions.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pursue additional intellectual property protection where we believe it to be appropriate and cost effective. Despite these efforts, our intellectual property rights may be challenged, invalidated, circumvented, or misappropriated. For additional information, see “Risk Factors—Risks Related to Our Technology, Security and Intellectual Property—Failure to protect or enforce our intellectual property rights could harm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subject to a variety of federal, state, provincial, and international laws and regulations that govern financial services, consumer protection, data privacy, lead generation, advertising, brokering, and investment advisory activities. The regulatory frameworks applicable to us vary by jurisdiction and by the nature of the services offered through our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Cross-Jurisdictional Compliance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market and provide our products and services across the United States, the United Kingdom, Canada, and other jurisdictions. As a result, aspects of our business are subject to a broad range of consumer financial protection, advertising, licensing, data privacy, and communications laws. These include regulatory requirements governing the marketing, brokering, and referral of mortgages and other consumer and SMB financial products; restrictions on the use and disclosure of consumer and SMB credit information; prohibitions on unfair, deceptive, or abusive acts or practices; rules governing communications with consumers and SMBs through telephone, email, mobile applications, and digital channels; and laws regulating the collection, processing, storage, and protection of personal data. These frameworks may impose requirements on our marketing practices, partner relationships, data usage, licensing obligations, and the manner in which we facilitate introductions to financial services providers.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and Publishing Activities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NerdWallet, Inc. produces independent editorial content and financial tools intended for general informational purposes. With regard to investment-related content and tools, our activities are conducted under the “publisher’s exemption” from the definition of “investment adviser” under the Investment Advisers Act of 1940. We do not provide personalized investment advice, make individualized recommendations, or tailor content to the investment needs of specific users. Our publishing activities may be subject to federal and state consumer protection and advertising laws, including prohibitions on unfair, deceptive, or abusive acts or practices.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Advisory Activities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conduct investment advisory activities through two SEC-registered investment advisers:</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NerdWallet Advisory LLC</w:t>
      </w:r>
      <w:r>
        <w:rPr>
          <w:rFonts w:ascii="Times New Roman" w:cs="Times New Roman" w:eastAsia="Times New Roman" w:hAnsi="Times New Roman"/>
          <w:sz w:val="18"/>
          <w:szCs w:val="18"/>
          <w:color w:val="auto"/>
        </w:rPr>
        <w:t>—Operates a financial advisor marketplace that provides matching, referral, and lead-generation services to consumers.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NerdWallet Advisory does not provide personalized investment advice, financial planning, or portfolio management services. NerdWallet Advisory is subject to the Investment Advisers Act and its rules, including requirements related to advertising, solicitation, disclosures, compliance programs, recordkeeping, and regulatory examinations.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NerdWallet Wealth Partners, LLC</w:t>
      </w:r>
      <w:r>
        <w:rPr>
          <w:rFonts w:ascii="Times New Roman" w:cs="Times New Roman" w:eastAsia="Times New Roman" w:hAnsi="Times New Roman"/>
          <w:sz w:val="18"/>
          <w:szCs w:val="18"/>
          <w:color w:val="auto"/>
        </w:rPr>
        <w:t>—Provides traditional wealth management services, including financial planning, discretionary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ongoing advisory relationships. NerdWallet Wealth Partners is subject to the full scope of the Investment Advisers Act, including fiduciary duties, compliance program requirements, custody and trading rules (as applicable), advertising and marketing requirements, recordkeeping obligations, and regulatory examinations.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Mortgage Brokering Activities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mortgage brokering activities, conducted through NDL, are subject to extensive federal and state regulation. NDL must comply with consumer financial protection laws governing mortgage advertising, loan origination practices, disclosures, fair lending, and compensation. The Consumer Financial Protection Bureau (CFPB) has rulemaking and enforcement authority over key federal statutes applicable to mortgage brokers, including those governing mortgage disclosures, fees, and fair lending. NDL must also maintain state mortgage broker licenses and meet related requirements under the Secure and Fair Enforcement for Mortgage Licensing Act (SAFE Act) and analogous state statutes. In addition, NDL is subject to regulatory expectations and contractual requirements imposed by wholesale lenders, insurers, credit providers, and government-backed loan programs.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Insurance-Related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certain subsidiaries, including NerdWallet Insurance Services, Inc. and NerdWallet Insurance Experts, LLC, we facilitate insurance quote procurement and consumer introductions to licensed insurance providers. These activities are subject to state insurance licensing, producer oversight, advertising standards, and related compliance obligations. We do not bind coverage, adjust claims, administer policies, or collect premiums.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Advertising, and Lead-Generation Regulation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marketing and referral practices are subject to federal, state, and provincial laws governing advertising, endorsements, disclosures, and financial promotions. These include the Federal Trade Commission Act, state and federal laws prohibiting unfair, deceptive, or abusive acts or practices, Canada’s Competition Act, the UK’s Financial Services and Markets Act 2000 as amended, and rules applicable to compensated endorsements and lead-generation activities. Our registered investment adviser subsidiaries are subject to the SEC’s marketing and solicitation rules, including requirements governing testimonials, endorsements, third-party ratings, and referral arrangements.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Protection and Financial Services Regulation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marketplaces and referral activities for credit cards, consumer loans and debt solution offerings, small business loans and financing options, banking and investment products, mortgages, insurance, and other consumer financial products are subject to oversight by federal and state regulators, including the CFPB. Our facilitation of referrals, comparisons, and application workflows may implicate licensing, consumer protection, fair lending, and advertising regulations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Privacy, and Cybersecurity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U.S., UK, Canadian, and other international data privacy and security laws, including the Gramm-Leach-Bliley Act (GLBA), the California Consumer Privacy Act (CCPA), as amended by the California Privacy Rights Act (CPRA), and other state-level comprehensive privacy laws, the UK General Data Protection Regulation (UK GDPR), and the UK Data Protection Act 2018. These laws govern the collection, use, processing, disclosure, and protection of personal information. We maintain administrative, technical, and physical safeguards designed to protect consumer and SMB data. Regulatory expectations in this area continue to evolve, and future changes may increase compliance obligations and costs. We are monitoring newly enacted and emerging laws and regulations related to artificial intelligence (AI), and based on our current assessment, our existing AI use cases do not fall within the scope of these laws. Nevertheless, we have initiated an AI governance framework to guide the responsible development and use of AI as the regulatory landscape continues to evolve.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in the United Kingdom and Canada are subject to local consumer protection, financial promotion, licensing, data privacy, advertising, and corporate compliance requirements. Certain marketplace and referral activities may be subject to additional financial services regulations depending on jurisdiction.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maintain an investor relations website at the following address: </w:t>
      </w:r>
      <w:r>
        <w:rPr>
          <w:rFonts w:ascii="Times New Roman" w:cs="Times New Roman" w:eastAsia="Times New Roman" w:hAnsi="Times New Roman"/>
          <w:sz w:val="18"/>
          <w:szCs w:val="18"/>
          <w:i w:val="1"/>
          <w:iCs w:val="1"/>
          <w:color w:val="auto"/>
        </w:rPr>
        <w:t>https://investors.nerdwallet.com</w:t>
      </w:r>
      <w:r>
        <w:rPr>
          <w:rFonts w:ascii="Times New Roman" w:cs="Times New Roman" w:eastAsia="Times New Roman" w:hAnsi="Times New Roman"/>
          <w:sz w:val="18"/>
          <w:szCs w:val="18"/>
          <w:color w:val="auto"/>
        </w:rPr>
        <w:t xml:space="preserve">. The information on our investor relations website is not incorporated by reference in this report. We make available on or through our investor relations website certain reports and amendments to those reports that we file with or furnish to the SEC in accordance with the Exchange Act. These include our Annual Reports on Form 10-K, our Quarterly Reports on Form 10-Q and our Current Reports on Form 8-K, and all amendments to those reports. We make this information available on our investor relations website free of charge as soon as reasonably practicable after we electronically file the information with, or furnish it to, the SEC. The SEC maintains a website that contains reports, proxy and information statements, and other information regarding issuers that file electronically with the SEC at the following address: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 w:name="page13"/>
    <w:bookmarkEnd w:id="1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routinely post on our investor relations website news releases, announcements and other statements about our business and results of operations, some of which may contain information that may be deemed material to investors. Therefore, we encourage investors to monitor the </w:t>
      </w:r>
      <w:r>
        <w:rPr>
          <w:rFonts w:ascii="Times New Roman" w:cs="Times New Roman" w:eastAsia="Times New Roman" w:hAnsi="Times New Roman"/>
          <w:sz w:val="18"/>
          <w:szCs w:val="18"/>
          <w:i w:val="1"/>
          <w:iCs w:val="1"/>
          <w:color w:val="auto"/>
        </w:rPr>
        <w:t xml:space="preserve">https://investors.nerdwallet.com </w:t>
      </w:r>
      <w:r>
        <w:rPr>
          <w:rFonts w:ascii="Times New Roman" w:cs="Times New Roman" w:eastAsia="Times New Roman" w:hAnsi="Times New Roman"/>
          <w:sz w:val="18"/>
          <w:szCs w:val="18"/>
          <w:color w:val="auto"/>
        </w:rPr>
        <w:t>website and review the information we post on that page.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risks described below and in our subsequent periodic filings with the SEC. The following risk factors should be read in conjunction with “Item 7. Management’s Discussion and Analysis of Financial Condition and Results of Operations” and the consolidated financial statements and related notes in this Annual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materially adversely affect us and should be read in conjunction with the full disclosure in this “Risk Factors” section:</w:t>
      </w:r>
    </w:p>
    <w:p>
      <w:pPr>
        <w:spacing w:after="0" w:line="121" w:lineRule="exact"/>
        <w:rPr>
          <w:sz w:val="20"/>
          <w:szCs w:val="20"/>
          <w:color w:val="auto"/>
        </w:rPr>
      </w:pPr>
    </w:p>
    <w:p>
      <w:pPr>
        <w:jc w:val="both"/>
        <w:ind w:left="660" w:hanging="328"/>
        <w:spacing w:after="0" w:line="259"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142" w:lineRule="exact"/>
        <w:rPr>
          <w:rFonts w:ascii="Times New Roman" w:cs="Times New Roman" w:eastAsia="Times New Roman" w:hAnsi="Times New Roman"/>
          <w:sz w:val="20"/>
          <w:szCs w:val="20"/>
          <w:color w:val="auto"/>
        </w:rPr>
      </w:pPr>
    </w:p>
    <w:p>
      <w:pPr>
        <w:ind w:left="660" w:hanging="328"/>
        <w:spacing w:after="0" w:line="255"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consumers or SMBs do not find value in our platform or do not like the consumer or SMB experience on our platform, the number of matches on our platform may decline, which would harm our business, financial condition and results of operations.</w:t>
      </w:r>
    </w:p>
    <w:p>
      <w:pPr>
        <w:spacing w:after="0" w:line="12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reputation and brand recognition and attract and engage users in a cost-effective manner would harm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influencers, affiliate marketing, email and text messages may adversely impact our brand and reputation or subject us to fines or other penalties.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decisions based on the best interests of our users in order to build long-term trust that may result in us forgoing short-term gains.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perform certain key functions, and their failure to perform those functions could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71"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compete in a highly competitive and rapidly evolving market with a number of other companies and we face the possibility of new entrants disrupting our market over time.</w:t>
      </w:r>
    </w:p>
    <w:p>
      <w:pPr>
        <w:spacing w:after="0" w:line="114" w:lineRule="exact"/>
        <w:rPr>
          <w:rFonts w:ascii="Times New Roman" w:cs="Times New Roman" w:eastAsia="Times New Roman" w:hAnsi="Times New Roman"/>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subjects us to additional costs and risks which could harm our business, revenue and financial results, and our continued international expansion may be unsuccessful.</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investing in new product offerings, technologies, and minority investments, with plans to further increase these investments in the future. While these endeavors hold significant potential, they also come with inherent risks, and there is no guarantee that we will realize the anticipated benefits.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is dependent on our ability to successfully refer users to financial services partners, and these partners are not precluded from offering products and services outside of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developments such as inflationary conditions in the U.S. have caused macroeconomic uncertainty and may have an adverse impact on our business, results of operations and our vertical diversification strategy.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 w:name="page14"/>
    <w:bookmarkEnd w:id="13"/>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consumer or SMB finance markets, or poor or uncertain macroeconomic conditions, could harm our business, financial condition and results of operations if our financial services partners reduce their marketing budgets and decrease spending on our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loans markets could harm our business, financial condition and results of operations.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financial regulations in the U.S., UK, and Canada, many of which are overlapping, ambiguous and still developing, which could subject us to claims or otherwise harm our business.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Co-founder, CEO and Chairman of our Board of Directors, Tim Chen, which will limit or preclude your ability to influence corporate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relationships with our financial services partners for our historical businesses, and any adverse changes in their financial strength, tightening of their underwriting standards or adverse changes to their online marketing strategy would adversely affect our business, financial condition and results of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significant portion of our success depends on the financial strength and underwriting standards of credit card issuers, lenders, insurers and other participants on our platform. If our financial services partners experience financial difficulties, they may cease participating on our platform or tighten underwriting standards, which would result in fewer opportunities for us to earn fees from matching consumers and SMBs with them. In times of financial difficulty, financial services providers may also fail to pay fees when due or drop the quality of their services to consumers and SMBs. Our partners could also change their online marketing strategies or implement cost-reduction initiatives that decrease spending through our platform. The occurrence of one or more of these events, alone or in combination, with a significant number of financial services partners could harm our business, financial condition and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consumers or SMBs do not find value in our platform or do not like the consumer or SMB experience on our platform, the number of matches on our platform may decline, which would harm our business, financial condition and results of operations.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growth of our business and revenue depends upon our ability to engage our existing users and to add new users in our current as well as new verticals.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a key part of our business strategy is to engage users in our existing verticals, we also intend to expand our operations into new verticals, such as our brokerage and advisory businesses. In doing so, we may incur losses or otherwise fail to enter new verticals successfully. Our expansion into new verticals may place us in unfamiliar competitive environments and involve various risks, including competition, government regulation, the need to invest significant resources and the possibility that returns on such investments will not be achieved for several years or at all. There are many factors that could negatively affect our ability to grow our user base and engagement, including if:</w:t>
      </w:r>
    </w:p>
    <w:p>
      <w:pPr>
        <w:spacing w:after="0" w:line="1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lose users to new market entrants and/or existing competitors;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obtain regulatory approvals necessary for expansion into new verticals, geographies or to launch new products, product features or tools;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effectively use search engines, social media platforms, digital app stores, content-based online advertising, and other online sources for generating traffic to our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experiences disruptions or outages;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suffer reputational harm to our brand including from negative publicity, whether accurate or inaccurate;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offer new and competitive products, to provide effective updates to our existing products or to keep pace with technological improvements in our industry;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user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address user concerns regarding the content, privacy, and security of our digital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innovate and improve our platform by generating compelling content and tools;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new financial services providers use incentives to directly cross-sell their products, reducing consumer or SMB benefits of using multiple providers;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successfully launch new verticals.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inability to overcome these challenges could impair our ability to engage users, and could harm our business, operating results and financial condition.</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reliance on internet search engines, particularly Google, for directing traffic to our platform, poses risks. Search engines, like Google, may modify algorithms or policies without prior notice, potentially resulting in significant declines in our organic search ranking and decreased platform traffic. Past changes have caused declines in traffic and user growth, with anticipated fluctuations in the future. The introduction and acceptance of AI-assisted technologies could further impact search engine relevance, causing declines in our ranking and decreased platform traffic, affecting our financial results.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Google may take action against websites for behavior deemed to unfairly influence search results, without providing published guidelines. We are also exploring new audience targeting and measurement approaches and focusing on direct consumer or SMB connections through registration ramps to minimize reliance on search engines. Changes in our marketing approach and consumer and SMB relationships are ongoing, with uncertain outcomes on actionable marketing data. Negative effects on targeting consumers and SMBs would impact our ability to match them with financial services partners, posing a threat to our business, revenue, and financial results.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reputation and brand recognition and attract and engage users in a cost-effective manner would harm our business, financial condition and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attract consumers and SMBs to our platform and the products and services we provide, convert these consumers and SMBs into matches with financial services partners, and generate repeat visits, we must market our platform and maintain consumer and SMB trust. Promoting and maintaining our brand requires the expenditure of money and resources for online and offline marketing and advertising, the continued provision of high-quality products and services that meet user needs, the ability to maintain consumers’ and SMBs’ trust, and the ability to successfully differentiate our brand, products and services from those of our competitors.</w:t>
      </w:r>
    </w:p>
    <w:p>
      <w:pPr>
        <w:spacing w:after="0" w:line="1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Brand recognition is a key differentiating factor between us and our competitors. We believe that building and maintaining the recognition of our brand is important to achieving increased traffic for our platform and demand for the products we provide. Historically, we have spent significant amounts on, and devoted significant resources to, branding, advertising and other marketing initiatives. We continually evaluate and optimize our marketing expenditures and resource commitments to improve efficiency and returns on investment. Changes in the mix, timing, channels, or level of our marketing activities may not be as effective as anticipated in generating consumer or SMB awareness, engagement, or revenue growth. Even when our marketing initiatives are successful, any increased revenue may not offset the expenses we incur. In addition, if our marketing efforts are not effective or are insufficient to maintain or enhance brand awareness and consumer engagement, our brand recognition, competitive position, and results of operations could be adversely affected.</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strength of our brand may be harmed by adverse publicity from many sources. Adverse publicity and the potential corresponding impact on our reputation may be accelerated and amplified by the widespread use of social media platforms. Furthermore, adverse publicity, from legal proceedings against us or our business, including governmental proceedings and consumer class action or other litigation, or the disclosure of information from security breaches or other incidents, could negatively impact our reputation and our brand, which could materially and adversely affect our business, financial condition, and results of operations.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failure of our business to maintain or enhance its reputation and brand recognition and attract and retain consumers and SMBs in a cost-effective manner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influencers, affiliate marketing, email, and text messages may adversely impact our brand and reputation or subject us to fines or other penalties.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social media, including Facebook, Instagram and TikTok, as well as affiliate marketing, email, and SMS as part of our multi-channel approach to marketing. Laws and regulations governing the use of these platforms, communication channels, and other digital marketing channels are rapidly evolving.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It may also become more difficult for us or our affiliate marketing partners to comply with such laws, and future data privacy and consumer protection laws and regulations or industry standards may alter, restrict or limit our ability to use some or all of the marketing strategies on which we currently rely. The failure by us, our employees, third parties acting at our direction or affiliate marketing partners who engage in advertising on our behalf to abide by applicable laws and regulations in the use of these platforms and communication channels could adversely impact our reputation or subject us to fines or other penalties. In addition, our employees or third parties, including our affiliate marketing partners, may knowingly or inadvertently make use of social media in ways that could lead to violations of marketing regulations issued by the FTC, SEC or CFPB. Any such inappropriate use of social media tools could also cause business interruptions and reputational damage.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decisions based on the best interests of our users in order to build long-term trust that may result in us forgoing short-term gains.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committed to building our business by prioritizing the best interests of our users, a value we consider instrumental in establishing user trust and driving platform growth and engagement. We believe that this approach aligns with the long-term interests of both our company and stockholders. Historically and potentially in the future, we may choose to forego certain expansion or short-term revenue opportunities that do not align with the best interests of our platform and users, even if such decisions adversely impact our short-term results.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instance, our platform avoids the use of impression-based advertising, refrains from generating revenue through certain editorial content topics, and ensures the editorial team maintains independence from our business teams. Reviews and ratings of financial services products remain unbiased, unaffected by product placement on our platform or pricing agreements with financial services partners. Additionally, we may invest in products or features that may not yield immediate financial benefits but are expected to drive consumer and SMB engagement or offer potential long-term advantages.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may invest in products, services, features, or businesses that may not yield immediate financial benefits but are expected to drive consumer or SMB engagement or offer potential long-term advantages. However, the focus on building long-term trust and consumer and SMB engagement over short-term revenue opportunities may not always yield the expected long-term benefits, potentially resulting in harm to user traffic, engagement, business, financial condition, and operational results.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certain key functions, and their failure to perform those functions could adversely affect our business,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certain third-party computer systems and third-party service providers for a variety of services, including cloud technology providers, third-party data providers, credit bureaus, data transfer networks, and remote and offshore engineering and other services to run our platform and support or carry out certain functions. Any significant disruption to the infrastructure of our third-party service providers and/or any changes in our third-party service providers’ service levels may significantly impact our business operations, including making our platform unavailable to our users. A lengthy interruption in the availability of our platform would result in a loss of matches with our financial partners and our ability to perform services, affecting corresponding revenue, which would impact our operating results and cash flow. In addition, it would negatively impact search engine ranking, user experience and our reputation with our financial partners and providers. Furthermore, in the event that any of our agreements with our third-party service providers are terminated, we may experience significant costs or downtime in connection with the transfer to, or the addition of, new service providers. Although alternative providers could be found to provide substantially similar services, such transitions could potentially be disruptive and we could incur significant costs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in a highly competitive and rapidly evolving market with a number of other companies and we face the possibility of new entrants disrupting our market over time.</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compete with a number of companies that market financial services online, as well as with more traditional sources of financial information, and with financial institutions offering their products directly, and we expect that competition will intensify. Our online competitors include marketplaces such as Bankrate, Credit Karma, LendingTree, and Zillow, and we also face direct or indirect competition from providers of consumer finance guidance and online search engines.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we also face the possibility of new competitors. New competitors may enter the market and may be able to innovate and bring products and services to market faster, or anticipate and meet consumer, SMB, or financial services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engaging users or financial services partners, our business, financial condition and results of operations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mortgage brokering presents additional risks.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acquisition of NDL in October 2024 and our expansion into mortgage brokerage services introduce additional risks. We must comply with complex federal and state regulations governing mortgage brokerage operations, including licensing requirements for both the entity and individuals in the states where NDL operates. Maintaining and expanding relationships with wholesale lenders and credit facility providers is critical to NDL’s ability to offer competitive loan products. Successfully integrating NDL’s operations, technology, and personnel into NerdWallet’s broader platform while ensuring compliance with laws such as the GLBA and RESPA presents execution challenges. Our limited experience operating a mortgage brokerage business increases the importance of attracting and retaining licensed mortgage professionals while ensuring adherence to SAFE Act licensing requirements and evolving industry regulations. The CFPB and federal agencies such as the FHA and the VA continue to expand enforcement actions in mortgage origination, requiring robust compliance and risk management practices. Additionally, operating a direct mortgage brokerage alongside our existing mortgage marketplace comparison platform creates potential conflicts of interest that must be carefully managed to maintain transparency and trust with consumers and lending partners. Mortgage brokerage operations are highly sensitive to interest rate fluctuations, housing market conditions, and changes in wholesale lender policies, all of which could impact loan approvals, funding availability, and revenue generation. Given the competitive and highly regulated nature of the industry, our success will depend on effective execution, compliance, and maintaining consumer trust while navigating evolving market conditions. If we fail to effectively manage these risks or comply with applicable regulatory requirements, our business, financial condition, and results of operations could be materially and adversely affected.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investment advisory businesses.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has expanded to provide investment management services, including direct management of client assets, subjecting us to extensive regulation under both the federal laws, such as the Investment Advisers Act of 1940, and the laws, rules, and regulations of the jurisdictions where we conduct business. Our ability to conduct business in the jurisdictions in which we will operate depends on our compliance with the laws, rules, and regulations promulgated by the federal regulatory bodies and the regulatory authorities in each of the states and other jurisdictions in which we do business. Periodic SEC and state examinations could result in fines, restrictions, or reputational damage if our policies, disclosures, or marketing fall short. Key risks include:</w:t>
      </w:r>
    </w:p>
    <w:p>
      <w:pPr>
        <w:spacing w:after="0" w:line="129" w:lineRule="exact"/>
        <w:rPr>
          <w:sz w:val="20"/>
          <w:szCs w:val="20"/>
          <w:color w:val="auto"/>
        </w:rPr>
      </w:pPr>
    </w:p>
    <w:p>
      <w:pPr>
        <w:jc w:val="both"/>
        <w:ind w:left="66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scrutiny</w:t>
      </w:r>
      <w:r>
        <w:rPr>
          <w:rFonts w:ascii="Times New Roman" w:cs="Times New Roman" w:eastAsia="Times New Roman" w:hAnsi="Times New Roman"/>
          <w:sz w:val="18"/>
          <w:szCs w:val="18"/>
          <w:color w:val="auto"/>
        </w:rPr>
        <w:t>. Our ability to comply with all applicable laws, rules, regulations, and interpretations is largely dependent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establishment and maintenance of compliance, audit, and reporting systems and procedures, which is dependent on our ability to attract and retain qualified compliance, audit, supervisory, and risk management personnel.</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Fiduciary liability</w:t>
      </w:r>
      <w:r>
        <w:rPr>
          <w:rFonts w:ascii="Times New Roman" w:cs="Times New Roman" w:eastAsia="Times New Roman" w:hAnsi="Times New Roman"/>
          <w:sz w:val="18"/>
          <w:szCs w:val="18"/>
          <w:color w:val="auto"/>
        </w:rPr>
        <w:t>. Failures in know-your-customer processes, portfolio management, or conflict management could trigger client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lawsuits, fee rescission, or enforcement actions.</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Third-party dependence</w:t>
      </w:r>
      <w:r>
        <w:rPr>
          <w:rFonts w:ascii="Times New Roman" w:cs="Times New Roman" w:eastAsia="Times New Roman" w:hAnsi="Times New Roman"/>
          <w:sz w:val="18"/>
          <w:szCs w:val="18"/>
          <w:color w:val="auto"/>
        </w:rPr>
        <w:t>. We rely on custodians, clearing brokers, and tech vendors. Service disruptions, cyber incidents, or vendor failures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impair client service and expose us to liability.</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Operational resilience</w:t>
      </w:r>
      <w:r>
        <w:rPr>
          <w:rFonts w:ascii="Times New Roman" w:cs="Times New Roman" w:eastAsia="Times New Roman" w:hAnsi="Times New Roman"/>
          <w:sz w:val="18"/>
          <w:szCs w:val="18"/>
          <w:color w:val="auto"/>
        </w:rPr>
        <w:t>. Managing assets at scale requires robust trading, risk, reporting, and cybersecurity systems; deficiencies could disrupt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and invite sanctions.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7" w:name="page18"/>
    <w:bookmarkEnd w:id="17"/>
    <w:p>
      <w:pPr>
        <w:ind w:left="66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Evolving rules</w:t>
      </w:r>
      <w:r>
        <w:rPr>
          <w:rFonts w:ascii="Times New Roman" w:cs="Times New Roman" w:eastAsia="Times New Roman" w:hAnsi="Times New Roman"/>
          <w:sz w:val="18"/>
          <w:szCs w:val="18"/>
          <w:color w:val="auto"/>
        </w:rPr>
        <w:t>. New custody, marketing, or best-interest standards could raise compliance costs or limit growth. Our educational tools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may also be deemed investment advice, increasing exposure.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our systems and procedures will be effective in complying with all applicable laws, rules, and regulations, and interpretations. Because these advisory activities involve custodial control and fiduciary obligations, any adverse event could materially affect our reputation, revenues, results of operations, and financial condition.</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costs and risks which could harm our business, revenue and financial results, and any future international expansion may be unsuccessful.</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the majority of our business continues to be generated in the U.S., we also operate in international markets, including the UK and Canada. We have gained experience operating outside the U.S.; however, our international operations remain a relatively smaller portion of our business and continue to require ongoing investment, management focus, and operational adaptation. We may also explore or pursue additional international opportunities in the future, and there is no guarantee that such efforts will be successful or cost-effective. Our existing international operations, and any future expansion, are subject to numerous difficulties and risks, including:</w:t>
      </w:r>
    </w:p>
    <w:p>
      <w:pPr>
        <w:spacing w:after="0" w:line="75"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to efficiently recruiting and retaining talented and capable employees in foreign countries and maintaining our company culture and employee programs across all of our offices, including those resulting from cultural differences and geographic dispersion;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regulatory laws and requirements for licenses and authorizations; and the UK Bribery Act of 2010 and other anti-corruption laws;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 and other governmental entities;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identifying, obtaining, and maintaining the government approvals, authorizations, or licensures required to conduct our business in foreign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risks, such as longer payment cycles, difficulty collecting accounts receivable, and the impact of local and regional financial crises on demand and payment for our products;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obtaining intellectual property protection, enforcing our intellectual property rights, and defending against third-party intellectual property infringement claims abroad;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from local companies that may benefit from local laws, regulations, or business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 and related foreign exchange controls;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multiple and possibly overlapping tax regimes, complexities of foreign value-added tax systems, and changes in applicable tax rates.</w:t>
      </w:r>
    </w:p>
    <w:p>
      <w:pPr>
        <w:spacing w:after="0" w:line="10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Our ability to anticipate and effectively manage these risks requires significant management attention and financial resources. Moreover, certain international markets in which we operate may experience economic or political uncertainty, which can increase the difficulty of operating in those markets. If we are unable to successfully manage any of these risks, our existing international operations — and any international expansion we may pursue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could be negatively impacted,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intend to continue, developing new products and services, and our failure to accurately predict their demand or growth could have an adverse effect on our business.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and intend in the future to continue, investing significant resources in developing new tools, features, services, products and other offerings, including offerings of mortgage, other lending and financial products. Risks from our innovative initiatives include those associated with potential defects in the design and development of the technologies used to automate processes, misapplication of technologies, the reliance on data that may prove inadequate, and failure to meet client expectations, among others. As a result of these risks, we could experience increased claims, reputational damage, or other adverse effects, which could be material. Additionally, we can provide no assurance that we will be able to develop, commercially market and achieve acceptance of our new products and services. In addition, our investment of resources to develop new products and services may either be insufficient or result in expenses that are excessive in light of revenue actually originated from these new products and services.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profile of potential clients using our new products and services may not be as attractive as the profile of the clients that we currently serve, which may lead to higher levels of delinquencies or defaults than we have historically experienced. Failure to accurately predict demand or growth with respect to our new products and services could have an adverse impact on our business, and there is always risk that these new products and services will be unprofitable, will increase our costs or will decrease our operating margins or take longer than anticipated to achieve target margins. Further, our development efforts with respect to these initiatives could distract management from current operations and could divert capital and other resources from our existing business. If we do not realize the expected benefits of our investments and development of new products and services, our business may be harmed.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is dependent on our ability to successfully refer users to and market financial services partners, and these partners are not precluded from offering products and services outside of our platform.</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earn revenue is dependent on referring users of our site to our financial services partners and our users seeking to transact with such partners. However, having obtained the information they were looking for in our editorial articles, tools and other product offerings, users may leave our platform and transact directly with a financial services partner or with another party. When users transact directly with financial services partners or another party, we are not able to earn revenue on these users’ transactions, limiting our ability to realize a return on our investments in product features and editorial articles which could harm our business, revenue and financial results.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we do not have exclusive relationships with our financial services partners, users may obtain financial products without having to use our platform. Our financial services partners may offer and market their products to prospective customers online directly through their own marketing campaigns or via other methods of distribution, including through our competitors. If a significant number of users seek financial products and services directly from our financial services partners or from our online competitors, as opposed to through our platform, our business, financial condition and results of operations could be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the quality of our products, expand our product offerings or continue technological innovation and improvements, our prospects for future growth may be harmed.</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our success depends on users finding our product offerings to be of value to them. Our ability to attract and engage users depends, in part, on our ability to successfully expand our product offerings and editorial articles. For example, we initially built our content and began matching consumers and SMBs with financial services providers in the credit card market, we later expanded into loan products and have continued to add other verticals since then. To penetrate new verticals,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government regulation could limit our ability to introduce new product offerings. If we fail to penetrate new verticals successfully, our revenue may grow at a slower rate than we anticipate, and our business, financial condition and results of operations could be materially adversely affected. We must also continue to innovate and improve on our technology and product offerings in order to continue future growth and successfully compete with other companies in our markets, or our brand and future growth could be materially adversely affected.</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market for financial services products is rapidly evolving, fragmented and highly competitive. Competition in this market has intensified, and we expect this trend to continue as the list of financial services providers grows. There are many established and emerging technology centric financial services providers offering a multitude of products to consumers and SMBs. If we fail to successfully anticipate and identify new trends, products and emerging financial services providers, and provide up-to-date educational content, tools and other relevant resources timely, our ability to engage consumers and SMBs with financial services providers may suffer, which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lack of geographic diversity exposes us to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geographically limited and primarily dependent upon consumers and SMBs and economic conditions in the U.S. As a result of this geographical concentration, we are more vulnerable to downturns or other conditions that affect the U.S. economy. Any downturn or other adverse conditions in the U.S. economy could harm our business and financial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operate in the UK and Canadian markets, and if we continue to expand internationally, we will be vulnerable to economic downturns or other conditions that affect the domestic markets in the countries where we expand. However, until our international operations grow significantly, we will continue to be primarily dependent on U.S. consumers and SMBs, and U.S. economic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less experience operating in some of the newer market verticals and service offerings to which we have expanded.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expanded into several new verticals and service offerings over the last several years, including mortgage brokering, insurance brokering, and wealth management services. We do not have as much experience operating in these newer areas as we do in our more established verticals. As a result, these newer verticals and services may be subject to greater risks, operational challenges, and uncertainties than our more mature offerings.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our entry into new verticals and services will depend on a number of factors, including:</w:t>
      </w:r>
    </w:p>
    <w:p>
      <w:pPr>
        <w:spacing w:after="0" w:line="171"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in a cost-effective manner product features and service experiences expected by consumers, SMBs and financial services providers, including in regulated businesses such as mortgage and insurance brokering and investment advisory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 intermediary in these verticals by consumers, SMBs and financial services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by current and future competitors, including those with longer operating histories in these regulated financial services sectors;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disrupt markets by offering or creating new and compelling products and services for consumers and SMBs;</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management and other skilled personnel with specialized expertise required for mortgage, insurance, and wealth management operation;</w:t>
      </w: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amounts owed to us from our financial services partners and customers, including in verticals with longer or more variable revenue cycles; and</w:t>
      </w:r>
    </w:p>
    <w:p>
      <w:pPr>
        <w:spacing w:after="0" w:line="7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adjust marketing expenditures in relation to changes in demand for the underlying products and services offered by us or our financial services partners.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we fail to successfully anticipate, manage, or mitigate the issues associated with expanding into these newer verticals and service offerings, our business, financial condition, and results of operations may suffer.</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data provided to us by users and third parties to operate and improve our product offerings, and if we are unable to maintain and grow the use of such data, we may be unable to provide users with a platform experience that is relevant and effective, which would harm our business, financial condition and results of operations.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analyze first-party data from users, third-party data from financial account aggregators and credit reports to understand our users’ unique financial situations. The large amount of information we use in operating and improving our platform is critical to the experience we provide for our users. If we are unable to maintain, grow and efficiently handle the data provided to us, or if third parties are restricted by laws and regulations from providing us with such data, the value that we provide to consumers and SMBs, and the quality of matches with financial services partners may be limited. In addition, if we do not maintain the quality, accuracy and timeliness of this information, user experience may suffer, which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which are subject to inherent challenges in measurement, and real or perceived inaccuracies in such metrics may harm our reputation and adversely affect our stock price, business, results of operations, and financial condition.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track certain operational metrics,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results and results of operations could be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the Consumer Finance Economy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developments such as inflationary conditions in the U.S. have caused macroeconomic uncertainty and may have an adverse impact on our business, results of operations and our vertical diversification strategy.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began our business with our credit card vertical and have since grown our business to include additional verticals: mortgages, insurance, SMB products, consumer loans and debt solutions, banking, and investing. We believe that our vertical diversification strategy has allowed us to navigate different kinds of macroeconomic conditions; in the recent past underperformance in one vertical has been offset by overperformance in another. For example, during the COVID-19 pandemic in 2020 when our credit card vertical was under pressure, other verticals such as the investing vertical and mortgage vertical were strong. Similarly in 2022, as interest rates began to increase and the mortgage and investing verticals were impacted, the credit card and SMB product verticals were strong. We cannot, however, guarantee that this offsetting between our verticals will continue or that our business model will be able to withstand the various macroeconomic developments we may see in the future. During 2025, we saw that uncertainty with the interest rate environment put pressure on our consumer loans, SMB products, and mortgage verticals. Continued inflationary conditions and slower-than-anticipated interest rate decreases would pose challenges to our business and may impact many of our verticals and may not be offset by performance in other verticals. Further, an unexpected or prolonged economic downturn, or rapidly rising or sustained high unemployment, would adversely affect our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consumer finance markets, or poor or uncertain macroeconomic conditions, could harm our business, financial condition and results of operations if our financial services partners reduce their marketing budgets and decrease spending on our platform.</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earn fees from our financial services partners by matching users with their products. Thus, our business is dependent on the consumer finance markets and the demand for the products offered by our financial services partners. While we have not experienced a prolonged economic downturn since our founding following the Great Recession, we did see impact from the regional bank failures in the spring of 2023 in the form of increased conservatism by our financial services partners that led them to decrease their spending on our platform. We would expect a prolonged market downturn to lead our financial services partners to tighten underwriting standards making it more difficult for users to be matched with their products and to implement cost-reduction initiatives that reduce or eliminate marketing budgets. Both of these actions would lead to decreased monetization on our platform and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loan markets could harm our business,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loan market, including student loans, business loans, mortgages and personal loans, is an important part of our business. Fluctuations and constraints in the loan markets in the past have harmed, and may in the future, harm our business, financial condition and results of operations. Economic factors such as current interest rates, slow economic growth or recessionary conditions, the pace of home price appreciation or the lack of it, changes in household debt levels, and increased unemployment or stagnant or declining wages can affect the loan markets by impacting the number of loan applications and loan approval rates which can adversely affect our business. Although the U.S. Federal Reserve decreased the benchmark federal funds rate in 2025, we believe that continued conservatism by our financial services partners would negatively impact our loans and SMB product verticals by reducing the supply of credit available, making it more difficult for us to match consumers and SMBs with financial services products.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financial regulations in the U.S., Canada, and the UK, many of which are overlapping, ambiguous and still developing, which could subject us to claims or otherwise harm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Aspects of our business are subject to a variety of federal, state and provincial financial and other laws in the U.S., Canada, and UK, including laws, authorizations, and state or provincial licensing requirements relating to matching consumers and SMBs with financial services providers; the marketing of mortgages, credit cards, personal loans, insurance, and other financial products and services; the manner in which we conduct our loan origination and servicing businesses and the fees that we may charge; the collection, use, retention, protection, disclosure, transfer and other processing of consumer personal information; investment advisory services; and other laws that are frequently evolving and developing. The scope and interpretation of such laws are often uncertain and may be conflicting or ambiguous. It is difficult to predict how existing laws, some of which were enacted prior to the widespread adoption of the internet and mobile devices, will be applied to our business and the new laws to which we may become subject. In addition, as our business grows into new markets or expands and we collect, use and share more user data internally and with financial services partners, we may become subject to additional laws and regulations. We also anticipate that U.S. federal regulators relevant to our business, such as the FTC and the CFPB, may pursue more enforcement actions. In addition, the government and regulatory authorities in the UK, Canada, and U.S. including the respective federal agencies, state and provincial legislatures and regulators may from time to time enact new laws, regulations or guidance that may harm our business.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applicable financial and other laws or regulations or if we become liable under these laws or regulations, we could be directly harmed, and we may be forced to implement new measures to reduce our exposure to this liability. This may require us to expend substantial resources or to discontinue certain products or features, which would negatively affect our business. In addition, negative publicity resulting from regulatory actions against us or others in our industry could harm our reputation or otherwise impact the growth of our business. Any costs incurred to prevent or mitigate this potential liability could also harm our business, financial condition and operating results.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proper business licenses or other documentation, or to otherwise comply with local laws and requirements regarding marketing or matching consumers and SMBs with financial services providers, may result in civil or criminal penalties and restrictions on our ability to conduct business in that jurisdiction.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states require companies to hold licenses in order to solicit or broker loans secured by residential mortgages, and in many cases require the licensure or registration of individual employees or contractors engaged in aspects of these businesses. States also require licenses to undertake certain insurance brokerage activities and in many cases require the licensure or registration of individual employees or contractors engaged in aspects of these activities. In addition, some states may require licenses to conduct similar activity with respect to commercial loans, credit cards and unsecured personal loans to residents of those states, although the applicability of these requirements to our business varies depending on our products as well as the loan products, terms, and the types of institutions that we partner with. The UK and Canada also have licensure requirements in order to solicit or offer qualitative assessments and comparison of certain financial products, such as loans secured by residential mortgages, consumer loans, credit cards, and insurance.</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Compliance with these requirements may render it more difficult for us and our financial services partners to operate or may raise our internal costs or the costs of our financial services partners, which may be passed on to us through less favorable commercial arrangements. While we have endeavored to comply with applicable requirements, the application of these requirements to persons operating online is not always clear and the failure to comply with any such applicable requirements may require us to expend significant capital and resources to investigate and remedy the noncompliance and subject us to litigation, regulatory enforcement action, fines, penalties, and other liability, which could adversely affect our business, financial condition and results of operations. Moreover, any of the licenses or rights currently held by us or our employees may be revoked prior to, or may not be renewed upon, their expiration. In addition, we or our employees may not be granted new licenses or rights for which they may be required to apply from time to time in the future.</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Regulations promulgated by some states or jurisdictions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regulators. If any such person refuses or fails to comply with these requirements, we may be unable to obtain certain licenses and existing licensing arrangements may be jeopardized. The inability to obtain, or the loss of, required licenses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store, use, and otherwise process personal information, including financial information and other sensitive data, which subjects us to governmental regulation and other legal obligations related to data privacy and security. Our actual or perceived failure to comply with such obligations could harm our reputation and our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collect, store, use and process personal information and other user data, including financial information, credit report information and other sensitive information for our users. We rely on this data provided to us by users and third parties to offer, improve and innovate our products. If we are unable to maintain and grow such data, we may be unable to provide consumers and SMBs with a platform experience that is relevant, efficient and effective, which could adversely affect our business, financial condition and results of operations.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numerous federal, state and local laws and regulations regarding data privacy and the collection, storing, sharing, use, processing, disclosure and protection of personal information and other user data, the scope of which are changing and subject to differing interpretations. In addition, as we continue to expand internationally, we are subject to foreign data privacy and security laws and regulations. These data privacy laws and regulations are complex, continue to evolve, and on occasion may be inconsistent between jurisdictions leading to uncertainty in interpreting and complying with such laws. We are also subject to the terms of our privacy policies and privacy-related obligations to third parties, and, given the evolving regulatory environment, we expect a heightened level of scrutiny on the data we handle. It is possible that these laws, regulations, and other obligations may be interpreted and applied in a manner that is inconsistent from one regulatory body to another and may conflict with other rules or our practices.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Most of the jurisdictions in which we operate have established their own data privacy and security legal frameworks. For example, in the U.S., we are subject to the GLBA which governs non-public personal information of individuals who obtain financial products or services from financial institutions primarily for personal, family or household purposes, as well as the Fair Credit Reporting Act (FCRA) which generally governs the collection of credit information and access to credit reports. These laws restrict the collection, use, storage and disposal of information about individuals that we may collect during the provision of our products and impose certain disclosure obligations on us. Failure to comply with these laws can result in regulatory fines or penalties. Certain of our products and/or data that are not otherwise subject to the GLBA or FCRA may be subject to additional laws and regulations. For example, the CCPA created new data privacy rights for California-resident users that were expanded when the CPRA went into effect in 2023. In addition, a growing number of states have passed or are expected to pass their own respective privacy laws. These laws, as well as any associated regulations, create a patchwork that poses challenges for our business and may increase our operating costs and potential liability (particularly in the event of a data breach), delay or impede the development of new products, and have a material adverse effect on our business, including how we use information about individuals, our financial condition and the results of our operations or prospects.</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also be subject to international laws regarding privacy and the storing, sharing, use, processing, disclosure and protection of personal information and other user data. For example, following our expansion into the UK market, we became subject to the privacy, data security, and data protection requirements of the UK’s data protection regime, consisting primarily of the Data Protection Act 2018 and the Data Protection, Privacy and Electronic Communications Regulations 2019 as amended by the Data Protection, Privacy and Electronic Communications Regulations 2020, or the UK GDPR, and other data protection regulations. Among other stringent requirements, the UK GDPR (like its EU counterpart) restricts transfers of data from the UK to third countries deemed to lack adequate privacy protections (such as the U.S.), unless an appropriate safeguard is implemented.</w:t>
      </w:r>
    </w:p>
    <w:p>
      <w:pPr>
        <w:spacing w:after="0" w:line="13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the aftermath of the UK’s withdrawal from the EU in January 2020 (an event commonly referred to as Brexit), there was uncertainty with regard to the regulation of data protection in the UK. Since then, the UK underwent efforts to introduce post-Brexit data protection reform in the form of the Data Protection and Digital Information (No. 2) Bill which is intended to supersede the UK’s version of the GDPR. The Data Protection and Digital Information (No. 2) Bill, however, did not complete before Parliament was dissolved on May 24, 2024 and is no longer being progressed. In October 2024, the House of Lords conducted the first reading of a new legislation – the Data (Use and Access) Bill (the Bill), which received Royal Assent in June 2025. Although less extensive than the previous government’s proposed legislation, the new Bill still resulted in a significant number of changes to UK data protection law. As a result, we have faced challenges in addressing and implementing the requirements of the new law in light of uncertainty over its interpretation and application to data transfer, privacy, data protection, and information security in the UK, and will likely continue to incur significant costs and expenses in an effort to do so. Any failure or perceived failure by us to comply with applicable laws and regulations or any of our other legal obligations relating to privacy, data protection, or information security may result in governmental investigations or enforcement actions, litigation, claims, or public statements against us. Any of the foregoing could result in significant liability or cause our users to lose trust in us, any of which could have an adverse effect on our reputation, operations, financial performance and business. Furthermore, the costs of compliance with, and other burdens imposed by, the laws, regulations, and policies that are applicable to the businesses of our customers may limit the adoption and use of, and reduce the overall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subject to and actively taking steps to comply with evolving privacy and consumer protection laws on cookies and e-marketing. In the UK, for example, informed consent is required for the placement of certain cookies or similar technologies on a user’s device and for direct electronic marketing and valid consent is tightly defined, including, a prohibition on pre-checked consents and, in the context of cookies, a requirement to obtain separate consents for each type of cookie or similar technology. Strict enforcement of these requirements could lead to substantial costs, require significant systems changes, limit the effectiveness of our marketing activities, divert the attention of our technology personnel, adversely affect our margins, increase costs and subject us to additional liabilities. U.S. regulators are also continuing to regulate cookie-related practices under various laws, and the plaintiffs’ bar has targeted these practices through private litigation, including class actions, as well. Regulation of cookies and similar technologies, and any decline of cookies or similar online tracking technologies as a means to identify and potentially target users, may negatively impact our efforts to understand users and match them with products.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privacy policies, our privacy-related obligations to users or other third parties, or our privacy-related legal obligations, or any compromise of security that results in the unauthorized release or transfer of personally identifiable information or other user data, may result in governmental enforcement actions, litigation or negative publicity and could cause our users and financial partners to lose trust in us, which would have a material and adverse effect on our business. We may also be subject to remedies that may harm our business, including fines, demands or orders that we modify or cease existing or planned business practices.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development, proliferation and use of AI could materially adversely affect our reputation, business, financial condition and results of operations.</w:t>
      </w:r>
    </w:p>
    <w:p>
      <w:pPr>
        <w:spacing w:after="0" w:line="18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currently incorporate AI technology in certain of our products and in our business operations. Our research and development of such technology remains ongoing, and our ability to develop effective and ethical AI technology will be critical to our financial performance and long-term success.</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AI, including generative and agentic AI technologies, presents risks, challenges and unintended consequences that could affect our and our customers’ adoption and use of this technology. AI algorithms and machine learning methodologies may be flawed. For example, the use of AI algorithms may raise ethical concerns and legal issues due to perceived or actual unintentional bias in the making of product recommendations. Additionally, AI technologies are complex and rapidly evolving, and we face significant competition in the market and from other companies regarding such technologies. Further, while we aim to develop and use AI responsibly and attempt to identify and mitigate ethical and legal issues presented by its use, we may be unsuccessful in identifying or resolving issues before they arise. In addition to AI regulation under general consumer protection and privacy laws, legislation specifically aimed at regulating the development, deployment and use of AI has been enacted in several states and has also been proposed at the federal level. Moreover, recent Executive Orders have further addressed federal regulation and policies related to AI. These laws, proposed laws and Executive Orders may create inconsistent and evolving compliance obligations, which may be costly, challenging and difficult to resolve. AI-related issues, including continued government regulation of AI, deficiencies and/or failures could give rise to legal and/or regulatory action, damage our reputation or otherwise adversely affect our business,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economic and trade sanctions laws and regulations of the United States could materially adversely affect our reputation, business, financial condition and results of operations.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Related to Our Human Capital</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team and other key employees to manage the business and the loss of one or more of these employees or an inability to attract and retain highly skilled employees could materially harm our business.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high performance of our executive team and other key employees. We rely on our executive team for leadership in critical areas of our business, including product development, engineering, marketing, security, business development, and general and administrative functions. The loss of one or more of our executives or key employees would have an adverse effect on our business. From time to time, there may be changes in executives due to hiring or departures, which could disrupt our business. We do not have employment agreements with executives or other key personnel that require them to continue to work for us for any specified period and, therefore, they could terminate their employment at any time.</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on our senior management, including Tim Chen, our Co-founder, Chief Executive Officer and Chairman of our Board of Directors, as well as other key personnel. We may not be able to retain the services of any of our senior management or other key personnel, as their employment is at-will and they could leave at any time. If we lose the services of one or more of our senior management and other key personnel,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stiff competition for qualified personnel and if we fail to attract new personnel or fail to retain and motivate our current personnel, our business, financial condition and results of operations could be materially and adversely affected.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especially for engineers experienced in designing and developing online and mobile products. We have experienced and we expect to continue to experience difficulty in hiring and retaining employees with appropriate qualifications. To attract and retain top talent, we have had to offer, and we believe we will need to continue to offer competitive compensation and benefits packages. Many of the companies with which we compete for experienced personnel have greater operating histories and resources than we have, which may make them more attractive to candidates.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attrition creates challenges as we must expend significant time and resources to identify, recruit, train and integrate new employees. If we are unable to retain qualified personnel or to effectively manage our hiring needs and successfully integrate new hires, then our efficiency, ability to meet forecasts, employee morale, productivity and retention could suffer, which could adversely affect our business.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transitioned to being a remote-first company, which could result in reduced morale and cohesiveness and increased cybersecurity risk, which could negatively affect our business.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2019, we transitioned all of our employees to a remote work environment in order to mitigate the spread of COVID-19 and comply with local shelter in place policies and subsequently we transitioned to being a remote-first company, allowing for almost all roles to be open to remote employees on an ongoing basis. The transition to being a remote-first company may lead to reduced employee morale or cohesiveness among our employees. In addition, our remote-first employment policy may exacerbate certain risks to our business, including an increased demand for information technology resources, increased risk of phishing and other cybersecurity attacks, increased risk of unauthorized dissemination of sensitive information and increased complexity in coordinating the actions of the organization across various time zones, any of which could adversely affect our business. As a result, our culture, information technology requirements, cybersecurity risk, and business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Security and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continued success depends on our systems, applications, and software continuing to operate and to meet the changing needs of our users and financial services partners. We rely on our technology and engineering staff and third-party services providers to successfully implement changes to and maintain our systems and services in an efficient and secure manner. Like all information systems and technology, our platform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shutdown of our platform.</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Operating our business and products involves the collection, storage, use and transmission of large volumes of sensitive, proprietary and confidential information, including financial and personal information, pertaining to our current, prospective and past users, as well as our personnel, contractors, and business partners. The security measures we take to protect this information may be breached as a result of computer malware, viruses, social engineering, ransomware attacks, account takeover attacks, hacking and cyberattacks, including by state-sponsored and other sophisticated organizations. Such incidents have become more prevalent in recent years. Our security measures could also be compromised by our personnel, theft or errors, or be insufficient to prevent exploitation of security vulnerabilities in software or systems on which we rely. Such cybersecurity incidents may in the future result in unauthorized, unlawful or inappropriate use, destruction or disclosure of, access to, or inability to access the sensitive, proprietary and confidential information that we handle. These incidents may remain undetected for extended periods of time allowing malfeasors to use time to their advantage.</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there are many different cybercrime and hacking techniques and such techniques continue to evolve, we may be unable to anticipate all cybersecurity threats, react in a timely manner or implement adequate preventative or remedial measures. In addition, we may not have adequate insurance to cover these losses or that such insurance will continue to be available on terms acceptable to us. While we have developed systems and processes designed to protect the integrity, confidentiality and security of our and our users’ confidential and personal information under our control, we cannot assure you that any security measures that we or our third-party service providers have implemented will be effective against current or future security threats.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cybersecurity or other security incident, or the perception that one has occurred, could result in a loss of confidence by both our users and financial services partners and damage our reputation and brand; reduce demand for our products; disrupt normal business operations; require us to expend significant capital and resources to investigate and remedy the incident and prevent recurrence; and subject us to litigation, regulatory enforcement action, fines, penalties, and other liability, which could adversely affect our business, financial condition and results of operations. Even if we take reasonable steps that we believe are adequate to protect us from cybersecurity threats, hacking against our competitors or other companies in our industry could create the perception among our users and financial services partners that our digital platform is not safe to use. Cybersecurity incidents could also damage our IT systems and our ability to make the financial reports and other public disclosures required of public companies. These risks are likely to continue to increase as we continue to grow and process, store and transmit increasingly larger volumes of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to support our platform and information technology systems.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third-party service providers to provide critical services that help us deliver our products and services and operate our business, including hosting our platform. These providers may support or operate critical business systems for us or store or process the same sensitive, proprietary and confidential information that we handle. We do not have redundant network or rapid disaster recovery capabilities in most cases for the services provided by third-party service providers. These third-party service providers may be susceptible to operational, technological and security vulnerabilities, including cybersecurity breaches or other security incidents that compromise the confidentiality, integrity or availability of the systems they operate for us or the information they process on our behalf. In addition, these providers may rely on subcontractors to provide services to us that face similar risks. Our ability to monitor our third-party service providers’ data security is limited and yet such occurrences could adversely affect our business to the same degree as if we had experienced these occurrences directly. Although we incorporate contractual provisions that require that our providers and their subcontractors protect our data and information, including personal information, any failure or security breaches by or of our third-party service providers or their subcontractors that result in an interruption in service, unauthorized access, misuse, loss or destruction of data or other similar occurrences could interrupt our business, cause us to incur losses, result in loss of reputation and consumer and SMB trust and subject us to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customer complaints, significant fines, litigation, disputes, claims, and regulatory investigations or other inquiries. Any contractual protections such as a counterparty’s obligation to indemnify us may not be sufficient to protect us if our counterparty doesn’t have adequate resources or if we are unable to enforce such protections. In other cases, our insurance may not cover potential claims of this type adequately or at all, and we may be required to pay monetary damages,which may be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infringed their proprietary technology or other intellectual property rights could harm our business.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Companies in the internet and technology industries are frequently subject to litigation based on allegations of infringement, misappropriation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Third parties have in the past and may in the future assert claims of infringement of intellectual property rights against us. Although we may have meritorious defenses, there can be no assurance that we will be successful in defending against these allegations or in reaching a business resolution that is satisfactory to us. Our competitors and others may now and in the future have patent portfolios that are used against us.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harm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a combination of federal, state and common law trademark, copyright, and trade secret protection laws, as well as contractual restrictions and business practices. In particular, we must maintain and protect the “NerdWallet” name and related marks and intellectual property and also police copying of our editorial articles. In addition, we typically enter into confidentiality and invention assignment agreements with employees and contractors, and confidentiality agreements with parties with whom we conduct business in order to limit access to, and disclosure and use of, our confidential or proprietary information. However, these contractual arrangements and the other steps we have taken to protect our intellectual property may not prevent the misappropriation or disclosure of our proprietary information nor deter independent development of similar technologies by others. Failure to protect or maintain our intellectual property could harm our business, financial condition and results of operations.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content, software and other works may be protected under copyright law, we have chosen not to register any copyrights in these works. In order to bring a copyright infringement lawsuit in the United States, the copyright must be registered. Accordingly, the remedies and damages available to us for unauthorized use of our software may be limited.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license third-party software and other intellectual property for use in connection with our platform, including for various third party product integrations with our platform. Our third-party licenses typically limit our use of intellectual property to specific uses and include other contractual obligations with which we must comply. These licenses may need to be renegotiated or renewed from time to time, or we may need to obtain new licenses in the future. Third parties may stop adequately supporting or maintaining their offerings or they or their technology may be acquired by our competitors. If we are unable to obtain licenses to these third-party software and intellectual property on reasonable terms or at all, the functionalities available through our platform may be adversely impacted, which could in turn harm our business. Further, if we or our third-party licensors were to breach any material term of a license, such a breach could, among other things, prompt costly litigation, result in the license being invalidated and/or result in fines and other damages. If any of the following were to occur, it could harm our business, financial results and our reputation.</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infringement claims brought by third parties against our licensors or against us, our ability to provide functionalities through our platform using such intellectual property could be severely limited and our business could be harmed. Furthermore, regardless of outcome, infringement claims may require us to use significant resources and may divert management’s attention.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operating system providers and app stores to support our platform, and any disruption, deterioration or change in their services, policies, practices, guidelines and/or terms of service could have a material adverse effect on our business,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platform depends upon the effective operation of certain mobile operating systems, networks and standards that are run by operating system providers and app stores, or Providers. We do not control these Providers and, as a result, we are subject to risks and uncertainties related to the actions taken, or not taken, by these Providers. We largely utilize Android-based and iOS-based technology for our digital application platform. If any Providers, including either Google (for Android) or Apple (for iOS) stop providing us with access to their platform or infrastructure, fail to provide reliable access, cease operations, modify or introduce new systems, change their terms of service, guidelines or policies, or their interpretation of these, or otherwise terminate services, the delay caused by qualifying and switching to other operating systems could be time consuming and costly and could materially and adversely affect our business, financial condition and results of operations. In addition, Providers may limit the use of personal information and other data for advertising purposes or restrict how users can share information on their platform or across other platforms, which could materially and adversely affect our business, financial condition and results of operations or otherwise require us to change the way we conduct our business. Any limitation on or discontinuation of our or our users’ access to any Provider’s platform or app store could materially and adversely affect our business, financial condition, results of operations or otherwise require us to change the way we conduct our business.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platform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cannot be sure that all of our use of open source software is in a manner that is consistent with our current policies and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procedures, or will not subject us to liability. Any of these risks could be difficult to eliminate or manage, and, if not addressed, would have a negative effect on our business, financial condition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Operations and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certain restrictions that may limit our ability to operate our business.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terms of our credit agreement, as amended, and the related collateral documents with JPMorgan Chase Bank, N.A. (JPM) as administrative agent contain, and any future indebtedness may contain, a number of restrictive covenants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repurchasing stock, making investments and agreeing to do any of the foregoing, in each case subject to certain exceptions. Our credit agreement also contains financial covenants which require us to comply with a maximum total net leverage and minimum fixed charge coverage ratios. Our ability to meet those financial covenants can be affected by events beyond our control, and we may not be able to continue to meet those covenants. A breach of any of these covenants or the occurrence of other events (including an event or condition that has had a material adverse effect (as defined in the credit agreement)) specified in the credit agreement and/or the related collateral documents could result in an event of default under the credit agreement. Upon the occurrence of an event of default, JPM and/or our lenders under the credit agreement could elect to declare all amounts outstanding under the credit agreement, if any, to be immediately due and payable and terminate all commitments to extend further credit. If we were unable to repay those amounts, JPM and our lenders could proceed against the collateral granted to them to secure such indebtedness, which consists of all of our assets. We have, and certain of our subsidiaries have, pledged substantially all of our respective assets as collateral under the loan documents. If JPM and our lenders accelerate the repayment of borrowings, if any, we may not have sufficient funds to repay our debt.</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agreement may not be sufficient for our capital needs and we may require additional capital to support business growth, which might not be available on acceptable terms, if at all.</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we may require additional funds to continue to do so. Depending on availability of capital under our existing debt facility, profitability and cash flow,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satisfactory terms when required, our ability to continue to support our business growth and respond to business challenges could be significantly impaired, delayed or abandoned, and our business may be harmed.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consummated or that it will enhance long-term stockholder value.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have a plan authorized for the repurchase of our Class A common stock, we cannot guarantee that the stock repurchase program will be fully consummated or that it will enhance long-term stockholder value. As of December 31, 2025, $55.2 million remained available under the Repurchase Program (as defined below), which does not have an expiration date. The timing and actual number of shares repurchased, if any, are at management’s discretion and will depend on a variety of factors including the timing of open trading windows, price, corporate and regulatory requirements, and other market conditions. Our Repurchase Program may be suspended or discontinued at any time without prior notice, and our Board of Directors may authorize the repurchase of additional securities under the program. Repurchases pursuant to the Repurchase Program could affect the price of our Class A common stock and increase volatility in such securities.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acquisitions and investments, successfully integrate acquired companies into our business, or our acquisitions and investments may not meet our expectations, any of which could adversely affect our business, financial condition, and results of operations.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extensive experience acquiring and integrating other businesses and technologies and there are inherent risks in integrating the acquired personnel, operations and technologies and managing the combined business effectively following the acquisition.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and investments may divert the attention of management and cause us to incur significant expenses related to identifying, investigating, and pursuing suitable acquisitions and investments, whether or not they are consummated. Furthermore, even if we successfully acquire or invest in additional businesses or technologies, we may not achieve the anticipated benefits or synergies due to a number of factors, including, without limitation:</w:t>
      </w:r>
    </w:p>
    <w:p>
      <w:pPr>
        <w:spacing w:after="0" w:line="129"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 including claims related to the acquired company, its product offerings, or technology;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or investment-related expenses, which would be recognized as a current period expense;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maintaining quality and security standards consistent with our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security vulnerabilities in acquired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anticipated synergies or unanticipated difficulty with integration into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or implement additional controls, procedures, and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caused by distance and cultural differences;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existing business relationships with business partners as a result of the acquisition or investment;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 diversion of management and employee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complexity in accounting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or the incurrence of debt to consummate the acquisition;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that may arise out of earn-outs, escrows, and other arrangements related to an acquisition of a company.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Acquisitions also increase the risk of unforeseen legal liability, including for potential violations of applicable law or industry rules and regulations, arising from prior or ongoing acts or omissions by the acquired businesses that are not discovered by due diligence during the acquisition process.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have to pay cash, incur additional debt, or issue equity to pay for any future acquisitions or investments, each of which could adversely affect our financial condition. The sale of equity to finance any future acquisitions or investments could result in dilution to our stockholders. The incurrence of additional indebtedness would result in increased fixed obligations and could also include additional covenants or other restrictions that would impede our ability to manage our operations. Any of the foregoing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or liabilities resulting from litigation could materially adversely affect our results of operations and financial condition.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and may become party to various legal proceedings and other claims that arise in the ordinary course of business, or otherwise in the future. Such matters are subject to many uncertainties and outcomes are not predictable with assurance. In addition, any such claims or litigation may be time-consuming and costly, divert management resources, require us to change our platform or have other adverse effects on our business. While we cannot assure the ultimate outcome of any legal proceeding or contingency in which we are or may become involved, we do not believe that any pending legal claim or proceeding arising in the ordinary course will be resolved in a manner that would have a material adverse effect on our business. However, if one or more of these legal matters resulted in an adverse monetary judgment against us, such a judgment could harm our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at historical rates or achieve or maintain profitability in the future.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markets, and our failure to capitalize on growth opportunities or the maturation of our business. Our growth rate may slow for a number of reasons, including a decline in the number of users, increasing competition, and other risks described in these Risk Factors. We may also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sustained profitability.</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estimates and judgments in calculating our income tax provision and other tax assets and liabilities. If these estimates or judgments are incorrect, our operating results and financial condition may be materially affected.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regular review and audit by both domestic and foreign tax authorities. Any adverse outcome of such a review or audit could have a negative effect on our operating results and financial condition. In addition, the determination of our provision for income taxes and other tax assets and liabilities requires significant judgment, and there are many transactions and calculations where the ultimate tax determination is uncertain at the present time. Although we believe our estimates and judgments are reasonable, the ultimate tax outcome may differ from the amounts recorded in our financial statements and may have a material effect on our operating results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Utilization of our net operating loss carryforwards, as well as of our other temporary differences, is dependent upon the generation of sufficient future taxable income during the periods in which those temporary differences become deductible. Management considers projected future taxable income and tax-planning strategies in making this assessment. 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be realized, and we recorded a release of the valuation allowance against these net U.S. deferred tax assets as of December 31, 2024. Our judgment regarding the likelihood of realization of these deferred tax assets could change in future periods, which could result in a material impact to our income tax provision in the period of 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Co-Founder, Chief Executive Officer and Chairman of our Board of Directors, Tim Chen, which will limit or preclude your ability to influence corporate matters.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Tim Chen, our Co-founder, Chief Executive Officer and Chairman of our Board of Directors and his affiliated trusts hold all outstanding shares of Class B common stock, which as of December 31, 2025 constituted approximately 89% of the voting power of our outstanding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governance matters, transactions and all matters submitted to a vote of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such as certain transfers effected for tax or estate planning purposes. In addition, Mr. Chen’s and his affiliated trusts’ shares of Class B common stock will automatically convert into Class A common stock, on a one-to-one basis, upon any sale or transfer of the applicable shares (other than transfers to certain permitted entities) or upon his death. The conversion of Class B common stock to Class A common stock will have the effect, over time, of increasing the relative voting power of those holders of Class B common stock who retain their shares in the long-term. If, for example, Mr. Chen retains a significant portion of his holdings of Class B common stock for an extended period of time, he could, in the future, continue to control a majority of the combined voting power of our Class A common stock and Class B common stock.</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Mr. Chen and his affiliated trusts have the ability to control the outcome of all matters submitted to our stockholders for approval, including the election, removal, and replacement of directors and any merger, consolidation, or sale of all or substantially all of our assets. If Mr. Chen’s employment with us is terminated, he will continue to have the ability to exercise the same significant voting power and potentially control the outcome of all matters submitted to our stockholders for approval. This concentrated control could delay, defer, or prevent a change of control, merger, consolidation, or sale of all or substantially all of our assets that our other stockholders support. Conversely, this concentrated control could allow Mr. Chen to consummate such a transaction that our other stockholders do not support. In addition, Mr. Chen may make long-term strategic investment decisions and take risks that may not be successful and may seriously harm our business.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our Chief Executive Officer, Mr. Chen also has control over our day-to-day management and the implementation of major strategic investments of our company, subject to authorization and oversight by our Board of Directors. As a board member and officer, Mr. Chen owes a fiduciary duty to our stockholders and must act in good faith in a manner he reasonably believes to be in the best interests of our stockholders. As a stockholder, Mr. Chen and his affiliated trusts are entitled to vote their shares, and shares over which they have voting control, in their own interests, which may not always be aligned with the interests of our stockholders generally.</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Listing Rules and, as a result, we are exempt from certain corporate governance requirements.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Chen and his affiliated trusts hold capital stock representing a majority of our outstanding voting power. So long as Mr. Chen and his affiliated trusts maintain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for the election of directors is held by an individual, group or another company is a “controlled company” and may elect not to comply with certain Nasdaq corporate governance requirements, including:</w:t>
      </w:r>
    </w:p>
    <w:p>
      <w:pPr>
        <w:spacing w:after="0" w:line="12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as defined under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or otherwise have director nominees selected by vote of a majority of the independent directors.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availed ourselves of some of these exemptions. As a result, we do not have a nominating and corporate governance committee or an independent nominating function. Our full Board of Directors is directly responsible for nominating members of our board.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as a controlled company, we remain subject to the rules of Sarbanes-Oxley as well as the Nasdaq Listing Rules that require us to have an audit committee composed entirely of independent directors, subject to permitted phase-in rules. Our audit committee is comprised of three members, all of whom are independent.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no longer eligible to rely on the “controlled company” exemptions,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Co-founder, Chief Executive Officer and Chairman of our Board of Directors, Tim Chen, and his affiliated trusts,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Under such policies, our dual class capital structure would make us ineligible for inclusion in certain indexes, and as a result, mutual funds, exchange-traded funds, and other investment vehicles that attempt to passively track such indexes will not be investing in our stock. It is uncertain what effect, if any, these policies will have on the valuations of publicly traded companies excluded from the indexes, but it is possible that they may depress such valuations when compared to those of other similar companies that are included. Because of our dual class structure, we will likely be excluded from certain of these indexes, and we cannot assure you that other stock indexes will not take similar actions. Given the sustained flow of investment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could be volatile, and you could lose all or part of your investment. The following factors, in addition to other factors described in this “Risk Factors” section may have a significant impact on the market price of our Class A common stock:</w:t>
      </w:r>
    </w:p>
    <w:p>
      <w:pPr>
        <w:spacing w:after="0" w:line="1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directors, executive officers, principal stockholders, or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refinance or securities we may issue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Class A common stock;</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and foreign exchange rates;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Class A common stock have been, and are likely to be, declared and paid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Class A common stock relative to other investment alternatives;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3" w:name="page34"/>
    <w:bookmarkEnd w:id="3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on a quarterly and annual basis, which may impact our stock price and make it difficult to predict our future performance.</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users using our platform to apply for or sign up for financial services products as well as fluctuations in the timing and amount of our expenses. Fluctuations and variability across our industry and the general economy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factors that may contribute to the variability of our quarterly and annual results include:</w:t>
      </w:r>
    </w:p>
    <w:p>
      <w:pPr>
        <w:spacing w:after="0" w:line="13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users and retain existing users, including in a cost-effective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losses and appropriately plan our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algorithms and prominence of our editorial articles in search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position in and expand in existing markets as well as successfully enter new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changes in, governmental or other regulation affecting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adequate rate of growth and effectively manage that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existing intellectual property and to create new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accident and coverage claims, intellectual property infringement claims, misclassifications and related judgments or settlements;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for the foreseeable future.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do not anticipate paying any cash dividends in the foreseeable future. We currently intend to retain future earnings, if any, to fund the development and growth of our business.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JPM and certain other lenders restrict our ability to pay dividends, and we may enter into additional agreements in the future that could also contain restrictions on payments of cash dividends.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may make our Class A common stock less attractive to investors.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 Commencing on December 31, 2026, we will no longer qualify as an emerging growth company and the reduced disclosure requirements applicable to an emerging growth company will no longer apply to us.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management burden as a public company, particularly after we are no longer an emerging growth company, and any failure to maintain effective internal control over financial reporting could adversely affect our business and stock price.</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and particularly after we cease to qualify as an emerging growth company commencing on December 31, 2026, we will be subject to increased legal, accounting, investor relations, compliance, and other expenses. The Sarbanes-Oxley Act and rules implemented by the SEC and Nasdaq impose significant requirements on public companies, including with respect to disclosure controls, internal control over financial reporting, and corporate governance practices. In addition, evolving regulatory expectations, stockholder activism, the current political environment, and heightened regulatory scrutiny may result in new or expanded compliance obligations, the timing and scope of which are difficult to predict.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and to report on the effectiveness of those controls pursuant to Section 404 of the Sarbanes-Oxley Act. As an accelerated filer and once we are no longer an emerging growth company, our independent registered public accounting firm will also be required to attest to the effectiveness of our internal control over financial reporting. Compliance with these requirements is complex, time consuming, and resource intensive, and may require us to upgrade our information technology systems; implement additional financial and management controls, reporting systems, and procedures; and hire or retain additional accounting and finance personnel. Our management and other personnel will be required to devote substantial time and attention to these compliance initiatives, which could divert resources from operating our business.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maintain effective internal control over financial reporting or unable to conclude that our internal controls are effective, or if our independent registered public accounting firm identifies a material weakness or is required to issue an adverse opinion, we may not be able to accurately or timely report our financial condition, results of operations, or cash flows. As a result, investor confidence in our financial reporting could be adversely affected, the market price of our Class A common stock could decline, and we could be subject to regulatory scrutiny, investigations, or sanctions by the SEC, Nasdaq, or other regulatory authorities. In addition, any failure to remediate identified material weaknesses or to maintain effective internal controls could limit our ability to access the capital markets on favorable terms, or at all.</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increased regulatory requirements and scrutiny, which increase our costs and may adversely affect our business.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(the Exchange Act), the Sarbanes-Oxley Act, the Dodd-Frank Wall Street Reform and Consumer Protection Act, the listing standards of Nasdaq, and other applicable securities laws and regulations. Compliance with these laws, rules and regulations has increased, and will continue to increase, our legal, accounting and financial compliance costs, and has made, and may continue to make, certain activities more time-consuming, costly or difficult. These requirements also place demands on our management, administrative and operational resources, particularly as we transition out of emerging growth company status. For example, the Exchange Act requires that we file annual, quarterly and current reports regarding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a public company we are subject to increased scrutiny from regulators, investors, analysts and the media. The public disclosure of information required in our filings and other public communications increases the visibility of our business and financial condition and may result in threatened or actual litigation, including by competitors, stockholders or other third parties. Any such claims, whether or not successful, could result in substantial costs, divert management’s attention and resources, and harm our reputation. If such claims are successful, our business, results of operations, financial condition and prospects could be materially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in the public market could cause our stock price to decline.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our shares of Class A common stock and Class B common stock are eligible for public sale, if they are registered under the Securities Act, or if they qualify for an exemption from registration under the Securities Act, including under Rules 144 or 701. If our existing stockholders sell, or indicate an intention to sell, substantial amounts of our Class A common stock in the public market, the trading price of our Class A common stock could decline.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holders of shares of our Class A common stock are entitled to rights with respect to the registration of their shares under the Securities Act as provided under the terms of an investors’ rights agreement between us and such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registered on Form S-8 all shares of common stock that are issuable under our existing equity compensation plans, including our 2012 Equity Incentive Plan, our 2021 Equity Incentive Plan (2021 EIP) and our 2021 Employee Stock Purchase Plan (2021 ESPP). Additionally, the number of shares of our Class A common stock reserved for issuance under our 2021 EIP automatically increases on January 1 of each year, beginning on January 1, 2023, by 5% of the total number of shares of our capital stock outstanding on December 31 of the preceding calendar year, or a lesser number of shares determined by our board of directors or compensation committee. Furthermore, the number of shares of our Class A common stock reserved for issuance under our 2021 ESPP automatically increases on January 1 of each year, beginning on January 1, 2023, by the lesser of 1% of the total number of shares of our capital stock outstanding on December 31 of the preceding calendar year and 850,000 shares, or a lesser number of shares determined by our board of directors or compensation committee. Unless our board of directors elects not to increase the number of shares available for future grant each year, our stockholders may experience additional dilution. As a consequence, these shares can be freely sold in the public market upon issuance, subject to volume limitations applicable to affiliates.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Securities and industry analysts currently publish research on our company and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the following:</w:t>
      </w:r>
    </w:p>
    <w:p>
      <w:pPr>
        <w:spacing w:after="0" w:line="135"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dual class common stock structure, which provides Mr. Chen and his affiliated trusts with the ability to control the outcome of matters requiring stockholder approval, even if he owns significantly less than a majority of the number of shares of our outstanding Class A and Class B common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chairperson, our chief executive officer, a holder of more than 21.0 million shares of Class B common stock (subject to adjustment for stock splits, stock dividends, stock combinations and the like), or a majority of our Board of Directors is authorized to call a special meeting of stockholders;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stockholder approval;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or in which you might otherwise receive a premium for your shares. These provisions may also prevent changes in our management or limit the price that investors are willing to pay for our stock.</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2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2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to us or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our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NerdWallet, Inc. recognizes the importance of developing, implementing, and maintaining robust cybersecurity measures to safeguard our information systems and protect the confidentiality, integrity, and availability of our data and that of our users.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the National Institute of Standards and Technology - Cybersecurity Framework (NIST-CSF) to guide our risk assessment and management and promote a company-wide cybersecurity risk management culture. Our cybersecurity team works closely with our information technology (IT) department to continuously evaluate and address cybersecurity risks in alignment with our business objectives and operational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enlist third-party cybersecurity assessors and consultants to evaluate and test both our risk management systems and the third-party risk management systems of our business partners. Through these collaborations, we tap into specialized knowledge and insights, helping us gauge the effectiveness of our cybersecurity strategies and processes. The findings from these assessments guide our decision-making and planning processes, influencing how we set priorities and allocate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Overseeing Third-party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partnering with third-party providers, we conduct a thorough examination of their cybersecurity program, policies, and practices. This includes a review of their SOC 2 reports and any available penetration tests. Additionally, we actively monitor our primary service providers and regularly obtain security control reports from them. We also employ real-time monitoring to detect any suspicious activity promptly. This approach is implemented to minimize risks associated with data breaches or other security incidents that may arise from third-party 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from Cybersecurity Threats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date, no cybersecurity incident or any risk from cybersecurity threats has materially affected, or has been determined to be reasonably likely to materially affect, us or our operations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recognizes the critical importance of managing cybersecurity risks and has implemented robust oversight mechanisms designed to ensure effective governance in this area.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Oversight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comprising Board members with diverse experience in risk management, IT, cybersecurity, and finance, is directly responsible for overseeing cybersecurity risks. Our Chief Information Security Officer (CISO) provides comprehensive quarterly presentations to the Audit Committee, covering ongoing cybersecurity initiatives, strategies, and emerging threats. The Committee reports significant matters to the full board, and the CISO also delivers an annual presentation to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Vigilance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Security Council, led by the CISO with representatives from our engineering, corporate IT, security, legal, human resources, and internal audit teams, diligently reviews and assesses cybersecurity plans, risks, and incidents on a monthly basis. Any substantial risk incident is escalated to the executive team, disclosure committee, and potentially the full Board, if deemed material. Regular communication between the CISO and the Chief Legal Officer, Chief Financial Officer, and Chief Executive Officer ensures top management is well-informed about NerdWallet's cybersecurity posture and potential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Leadership</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primary responsibility for assessing, monitoring, and managing our cybersecurity risks lies with our highly experienced CISO. With two decades of cybersecurity expertise, including multiple CISO roles, our CISO plays a pivotal role in developing and executing our cybersecurity strategies. His responsibilities include overseeing governance programs, addressing known risks, leading employee security training, and executing the incident response plan in case of a cybersecurity incident.</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offices in San Mateo, California, New York, New York, Scottsdale, Arizona, and Detroit, Michigan. We lease all of our facilities and do not own any real property. We have a remote-first policy that allows for almost all roles to be remote on an ongoing basis. As a result, most of our employees transitioned or were hired into permanent remote status and are not required to report to an office for work. See discussion of our lease commitments in Note 9–Leases in the notes to consolidated financial statements in Item 8 of Part II of this Annual Report on Form 10-K. We believe our facilities are adequate and suitable for our current needs and that, should it be needed, suitable additional or alternative space will be available to accommodate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See further discussion under “Litigation and Other Legal Matters” in Note 8–Commitments and Contingencies in the notes to consolidated financial statements in Item 8 of Part II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391" w:lineRule="exact"/>
        <w:rPr>
          <w:sz w:val="20"/>
          <w:szCs w:val="20"/>
          <w:color w:val="auto"/>
        </w:rPr>
      </w:pPr>
    </w:p>
    <w:p>
      <w:pPr>
        <w:ind w:right="192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Market under the symbol “NRDS” since November 4, 2021. Prior to that date, there was no public trading market for our Class A common stock.</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B common stock is neither listed nor publicly traded.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23, 2026, there were 99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23, 2026, there were eight stockholders of record of our Class B common stock, all of which are trusts affiliated with Tim Chen, our Chief Executive Officer and the Chairman of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JPM and certain other lenders restrict our ability to pay dividends, and we may enter into additional agreements in the future that could also contain restrictions on payments of cash dividends.</w:t>
      </w:r>
    </w:p>
    <w:p>
      <w:pPr>
        <w:sectPr>
          <w:pgSz w:w="11900" w:h="16838" w:orient="portrait"/>
          <w:cols w:equalWidth="0" w:num="1">
            <w:col w:w="11240"/>
          </w:cols>
          <w:pgMar w:left="320" w:top="1026" w:right="339" w:bottom="1440" w:gutter="0" w:footer="0" w:header="0"/>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year ended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share repurchase activity for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8"/>
                <w:szCs w:val="18"/>
                <w:b w:val="1"/>
                <w:bCs w:val="1"/>
                <w:i w:val="1"/>
                <w:iCs w:val="1"/>
                <w:color w:val="auto"/>
                <w:vertAlign w:val="superscript"/>
              </w:rPr>
              <w:t>2</w:t>
            </w:r>
          </w:p>
        </w:tc>
        <w:tc>
          <w:tcPr>
            <w:tcW w:w="0" w:type="dxa"/>
            <w:vAlign w:val="bottom"/>
          </w:tcPr>
          <w:p>
            <w:pPr>
              <w:spacing w:after="0"/>
              <w:rPr>
                <w:sz w:val="1"/>
                <w:szCs w:val="1"/>
                <w:color w:val="auto"/>
              </w:rPr>
            </w:pPr>
          </w:p>
        </w:tc>
      </w:tr>
      <w:tr>
        <w:trPr>
          <w:trHeight w:val="26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6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62"/>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72"/>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Under the Plans or</w:t>
            </w:r>
          </w:p>
        </w:tc>
      </w:tr>
      <w:tr>
        <w:trPr>
          <w:trHeight w:val="179"/>
        </w:trPr>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39"/>
              <w:spacing w:after="0" w:line="179"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tc>
      </w:tr>
      <w:tr>
        <w:trPr>
          <w:trHeight w:val="190"/>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37"/>
        </w:trPr>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9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0"/>
        </w:trPr>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8260" w:space="20"/>
            <w:col w:w="2960"/>
          </w:cols>
          <w:pgMar w:left="320" w:top="10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jc w:val="both"/>
        <w:ind w:left="340" w:hanging="332"/>
        <w:spacing w:after="0" w:line="261" w:lineRule="auto"/>
        <w:tabs>
          <w:tab w:leader="none" w:pos="33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 2023, we announced that our Board of Directors authorized a plan under which we may repurchase up to $20 million of our Class A common stock and, following our utilization of that share repurchase authorization, we announced on October 26, 2023, September 9, 2024, October 29, 2024, September 13, 2025, December 16, 2025, and February 25, 2026, that our Board of Directors approved additional share repurchase authorizations under which we may repurchase up to an additional $30 million, $50 million, $25 million, $50 million, $50 million, and $100 million, respectively, of our Class A common stock (collectively, the Repurchase Program).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us to acquire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“filed” with the SEC for purposes of Section 18 of the Exchange Act, and shall not be deemed to be incorporated by reference into any of our filings under the Securities Act or the Securities Exchange Act.</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graph below shows the cumulative total stockholder return on our Class A common stock between November 4, 2021 (the date that our Class A common stock commenced trading on the Nasdaq Global Market) through December 31, 2025 in comparison to the Nasdaq Composite Index and the S&amp;P 500 Index. The graph assumes that $100 was invested in each of our Class A common stock, the Nasdaq Composite Index and the S&amp;P 500 Index at their respective closing prices on November 4, 2021. The graph uses the closing market price on November 4, 2021 of $28.30 per share as the initial value of our Class A common stock. Data for the Nasdaq Composite Index and S&amp;P 500 Index assume reinvestment of dividends. The comparisons shown in the graph are not intended to forecast or be indicative of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62230</wp:posOffset>
            </wp:positionV>
            <wp:extent cx="5254625" cy="3257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reflect our current plans, estimates and beliefs, and involve risks and uncertainties. Our actual results and the timing of certain events could differ materially from those anticipated in these forward-looking statements as a result of various factors, including but not limited to those discussed in the sections titled “Special Note Regarding Forward-Looking Statements” and “Risk Factors” in this Annual Report on Form 10-K.</w:t>
      </w:r>
    </w:p>
    <w:p>
      <w:pPr>
        <w:spacing w:after="0" w:line="12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Our historical results are not necessarily indicative of the results that may be expected for any period in the future. Except as otherwise noted, all references to 2025 refer to the year ended December 31, 2025, references to 2024 refer to the year ended December 31, 2024, and references to 2023 refer to the year ended December 31, 2023.</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 discussion and analysis of our financial condition and results of operations for the year ended December 31, 2025 compared to the year ended December 31, 2024 is presented below. For a discussion of our financial condition and results of operations for the year ended December 31, 2024 compared to the year ended December 31, 2023, see “Management’s Discussion and Analysis of Financial Condition and Results of Operations” in our Annual Report on Form 10-K for the year ended December 31,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NerdWallet, Inc. (NerdWallet, we, our, or us) provides consumers and small and mid-sized businesses (SMBs) with trusted guidance across a broad range of finance topics through a digital platform that integrates independent editorial content, comparison tools, data-driven product marketplaces, and access to regulated financial services offered through our subsidiaries. Our mission is to provide clarity for all of life’s financial decisions. Our vision is a world where everyone makes financial decisions with confidence.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enables users to compare financial products, access educational resources, receive personalized insights, and connect with third-party providers across credit cards, banking, insurance, lending, investing, wealth management, and other financial categories. We generate revenue primarily through referral fees, lead generation, and partner-based monetization, as well as through revenue derived from brokering and advisory services.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model is designed to be partner-neutral and to support transparent consumer and SMB choice by offering side-by-side comparisons and unbiased information supported by editorial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made acquisitions and established subsidiaries to expand into new verticals; to enter new markets; and to grow our platform so that our users have better outcomes. Recent acquisitions include:</w:t>
      </w:r>
    </w:p>
    <w:p>
      <w:pPr>
        <w:spacing w:after="0" w:line="50" w:lineRule="exact"/>
        <w:rPr>
          <w:sz w:val="20"/>
          <w:szCs w:val="20"/>
          <w:color w:val="auto"/>
        </w:rPr>
      </w:pPr>
    </w:p>
    <w:p>
      <w:pPr>
        <w:jc w:val="both"/>
        <w:ind w:left="660" w:hanging="328"/>
        <w:spacing w:after="0" w:line="26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Next Door Lending. </w:t>
      </w:r>
      <w:r>
        <w:rPr>
          <w:rFonts w:ascii="Times New Roman" w:cs="Times New Roman" w:eastAsia="Times New Roman" w:hAnsi="Times New Roman"/>
          <w:sz w:val="18"/>
          <w:szCs w:val="18"/>
          <w:color w:val="auto"/>
        </w:rPr>
        <w:t>In October 2024, we acquired Next Door Lending LLC (NDL), a mortgage broker that offers a selection of loan products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home purchase and refinance, including cash-out refinance and debt consolidation, across a range of maturities and interest rates. Through NDL, we offer consumers access to government-sponsored entity-conforming loans, FHA insured loans, VA guaranteed loans and jumbo loans.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NerdWallet Insurance Experts</w:t>
      </w:r>
      <w:r>
        <w:rPr>
          <w:rFonts w:ascii="Times New Roman" w:cs="Times New Roman" w:eastAsia="Times New Roman" w:hAnsi="Times New Roman"/>
          <w:sz w:val="18"/>
          <w:szCs w:val="18"/>
          <w:color w:val="auto"/>
        </w:rPr>
        <w:t>. In March 2025, we established NerdWallet Insurance Experts, LLC (NWIE), an insurance agency.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NWIE, we provide property and casualty brokerage services to assist consumers to compare quotes and connect with licensed carriers or agents to obtain insurance policies.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NerdWallet Wealth Partners</w:t>
      </w:r>
      <w:r>
        <w:rPr>
          <w:rFonts w:ascii="Times New Roman" w:cs="Times New Roman" w:eastAsia="Times New Roman" w:hAnsi="Times New Roman"/>
          <w:sz w:val="18"/>
          <w:szCs w:val="18"/>
          <w:color w:val="auto"/>
        </w:rPr>
        <w:t>. In June 2025, we acquired an SEC-registered investment adviser and created NerdWallet Wealth Partners,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provides traditional investment advisory services, such as financial planning and discretionary investment management.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acquisition-related costs, and (4) restructuring charges. We also reduce income from operations, or increase loss from operations, for capitalized internally developed software costs.</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other gains (losses), net, and provision (benefit) for income taxes, and further exclude (1) impairment of right-of-use asset, (2) losses (gains) on disposals of assets, (3) stock-based compensation, (4) acquisition-related costs, and (5) restructuring charges.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1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acquisition-related costs, including acquisition-related retention compensation under compensatory retention agreements with certain key employees, and acquisition-related transaction expenses;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Operations—Key Components of Our Results of Operations— Non-GAAP Financial Measures” for reconciliations of non-GAAP operating income (loss) to income (loss) from operations, and adjusted EBITDA to net income (loss), the most directly comparable financial measures calculated in accordance with GAAP.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generate substantially all of our revenue through fees paid by our financial services partners in the form of either revenue per action, revenue per click, revenue per lead, and revenue per funded loan arrangements. For these revenue arrangements, in which a partner pays only when a consumer or SMB satisfies the criteria set forth within the arrangement, revenue is recognized generally when we match the consumer or SMB with the financial services partner. For some of our arrangements, the transaction price is considered variable and an estimate of the constrained transaction price is recorded when the match occurs. Our revenue generally includes five product categories: Insurance, Credit cards, SMB products, Loans and Emerging verticals. Insurance revenue includes revenue from consumer insurance products, including auto, life and pet insurance. Credit cards revenue includes revenue from consumer credit cards. SMB products revenue includes revenue from loans, credit cards and other financial products and services intended for small and mid-sized businesses. Loans revenue includes revenue from personal loans, mortgages, student loans and auto loans. Emerging verticals revenue includes revenue from other product sources, including banking, investing and international.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amortization expense associated with capitalized software development costs and developed technology intangible assets related to our acquisitions, credit scoring fees, account linking fees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third-party service and data costs.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cost of revenue to decrease in absolute dollars in the next few years, as amortization of capitalized software development costs decline following years of decreasing levels of capitalized software development costs, and to then increase in absolute dollars for the foreseeable future to the extent that our business continues to grow. We expect our cost of revenue to vary as a percentage of revenue in the next few years, and it may eventually decrease over time as a percentage of revenue as our business grows and recognizes economies of scale. However, this percentage may fluctuate from year to year depending on the timing and extent of our investments in experiences requiring third-party service and data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primarily relate to engineering, product management, data enhancement, and improved functionality related to our platform. Research and development expenses primarily consist of personnel related costs, including stock-based compensation, technology and facility-related expenses and contractor expense for our engineering, product management, data and other personnel engaged in maintaining and enhancing the functionality of our platform.</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for the foreseeable future, primarily for increased headcount costs to further develop and innovate our platform. Over time, we expect research and development expenses to decrease as a percentage of revenue as our business grows and recognizes economies of scale. However, this percentage may fluctuate from period to period depending on the timing and extent of our research and development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marketing strategy leverages multiple channels across brand marketing, performance marketing and organic marketing. Sales and marketing expenses consist of: performance marketing, primarily costs to drive traffic directly to our platform; brand marketing, primarily advertising costs to increase brand awareness; and organic and other marketing, primarily personnel-related costs, including stock-based compensation, for content and other marketing and sales teams. We are able to adjust our marketing spend to reflect changes in external factors and consumer and SMB behavior. Performance marketing spend can be adjusted more quickly than brand marketing, which typically involves pre-committing to spend in future periods.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sales and marketing expenses to continue to increase in absolute dollars for the foreseeable future, primarily to support the growth of our existing business and expansion into new verticals. Over time, we expect our sales and marketing expenses to increase as a percentage of revenue as our business grows and expands. However, this percentage may fluctuate from period to period depending on the timing and extent of our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stock-based compensation, for certain of our executives as well as our legal, finance, human resources, and other administrative employees; and professional services fees.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for the foreseeable future primarily to support the growth of our business. Additional expenses may include increased personnel-related costs, enhanced systems, processes, and controls as well as increased expenses in the areas of insurance, compliance, investor relations, and professional services. For these reasons, we expect general and administrative expenses to vary as a percentage of revenue in the near term, but eventually to decrease as a percentage of revenue as our business grows and recognizes economies of scale. This percentage may fluctuate from period to period depending on the timing and extent of our general and administrative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net is comprised of interest income, interest expense, and other gains (losses), net. Interest income consists primarily of interest earned on our cash and cash equivalents. Interest expense consists of interest costs related to our revolving credit facility, including amortization of debt issuance costs. Other gains (losses), net for 2024 includes an $8.1 million impairment on an equity investment. Other gains (losses), net is otherwise primarily related to realized and unrealized gains and losses on foreign currency transactions and balances.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income tax provision (benefit) consists of federal and state income taxes. We have federal and state net operating loss carryforwards (NOLs), and California research and development credit carryforwards, certain of which are subject to expiration dates if not utilized. Utilization of our NOLs and tax credit carryforwards, as well as of our other temporary differences, is dependent upon the generation of sufficient future taxable income during the periods in which those temporary differences become deductible. In the fourth quarter of 2024, based on our ongoing assessment of all available evidence, both positive and negative, including a significant improvement in our profitability coupled with anticipated future earnings, we concluded that it is more likely than not that our U.S. federal and majority state deferred tax assets in excess of deferred tax liabilities would be realized and released $27.2 million of our valuation allowance against these net U.S. deferred tax assets as of December 31, 2024. Our judgment regarding the likelihood of realization of these deferred tax assets could change in future periods, which could result in a material impact to our income tax provision in the period of change.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consolidated financial statements and related notes included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4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4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599.4</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70"/>
        </w:trPr>
        <w:tc>
          <w:tcPr>
            <w:tcW w:w="6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70"/>
        </w:trPr>
        <w:tc>
          <w:tcPr>
            <w:tcW w:w="6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37"/>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6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gridSpan w:val="2"/>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6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Includes stock-based compensation as follows: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34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as a percentage of revenue: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21"/>
                <w:szCs w:val="21"/>
                <w:color w:val="auto"/>
              </w:rPr>
            </w:pP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1"/>
                <w:szCs w:val="21"/>
                <w:color w:val="auto"/>
              </w:rPr>
            </w:pP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21"/>
                <w:szCs w:val="21"/>
                <w:color w:val="auto"/>
              </w:rPr>
            </w:pPr>
          </w:p>
        </w:tc>
        <w:tc>
          <w:tcPr>
            <w:tcW w:w="15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920" w:type="dxa"/>
            <w:vAlign w:val="bottom"/>
          </w:tcPr>
          <w:p>
            <w:pPr>
              <w:spacing w:after="0"/>
              <w:rPr>
                <w:sz w:val="21"/>
                <w:szCs w:val="21"/>
                <w:color w:val="auto"/>
              </w:rPr>
            </w:pPr>
          </w:p>
        </w:tc>
        <w:tc>
          <w:tcPr>
            <w:tcW w:w="15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income from operations increased $55.8 million, or 590%, for 2025 compared to 2024. The increase was driven by a $149.0 million increase in revenues, partially offset by a $93.2 million increase in costs and operating expenses, primarily due to a $114.1 million increase in sales and marketing expenses partially offset by a $15.8 million decrease in research and development expenses.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income increased $18.3 million, or 60%, for 2025 compared to 2024, primarily driven by the $55.8 million increase in income from operations, as well as $3.0 million of other income, net in 2025 as compared to other expense, net of $4.4 million in 2024, partially offset by a $19.5 million income tax provision in 2025 as compared to an income tax benefit of $25.4 million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$149.0 million, or 22%, for 2025 compared to 2024, driven by strong growth in Insurance, Emerging verticals and Loans revenues, partially offset by lower Credit cards and SMB products.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Insurance revenue increased $89.2 million, or 47%, for 2025 compared to 2024, primarily driven by a strong increase in auto insurance products revenue as carriers expanded budgets.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cards revenue decreased $43.0 million, or 24%, for 2025 compared to 2024, primarily due to continued pressures in organic search traffic.</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SMB products revenue decreased $9.8 million, or 9%, for 2025 compared to 2024, primarily due to continued pressures in organic search traffic, partially offset by an increase in business loan originations.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8" w:name="page49"/>
    <w:bookmarkEnd w:id="4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Loans revenue increased $48.9 million, or 58%, for 2025 compared to 2024, primarily driven by an 85% increase in personal loans revenue as well as a 33% increase in mortgage loans revenue reflecting incorporation of our acquisition of NDL in October 2024.</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Emerging verticals revenue increased $63.7 million, or 51%, for 2025 compared to 2024, primarily driven by a 60% increase in banking revenue due to higher demand for banking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increased $0.2 million for 2025 compared to 2024. The increase was primarily attributable to a $2.1 million increase related to third-party service and data charges, substantially offset by a $1.6 million decrease in amortization expense related to capitalized software development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$15.8 million, or 19%, for 2025 compared to 2024. The decrease was primarily attributable to a $10.1 million decrease in personnel-related costs for our engineering, data, and product management personnel and contractors, as well as a $5.8 million restructuring charge in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sales and marketing expense, including as a percentage of total sales and marketing expense,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r>
      <w:tr>
        <w:trPr>
          <w:trHeight w:val="37"/>
        </w:trPr>
        <w:tc>
          <w:tcPr>
            <w:tcW w:w="660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3"/>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and other marketing</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able to adjust our marketing spend to reflect changes in external factors and consumer and SMB behavior.</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$114.1 million, or 24%, for 2025 compared to 2024. The increase was attributable to a $119.5 million increase in performance marketing expenses, partially offset by decreases of $3.5 million in brand marketing expenses and $1.9 million in organic and other marketing expenses primarily due to a $2.0 million restructuring charge in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$5.3 million, or 9%, for 2025 compared to 2024, primarily attributable to a $5.5 million decrease in personnel-related costs mainly due to stock-based compensation, as well as a $1.2 million restructuring charge in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8"/>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7"/>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6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494"/>
              <w:spacing w:after="0"/>
              <w:rPr>
                <w:sz w:val="20"/>
                <w:szCs w:val="20"/>
                <w:color w:val="auto"/>
              </w:rPr>
            </w:pPr>
            <w:r>
              <w:rPr>
                <w:rFonts w:ascii="Times New Roman" w:cs="Times New Roman" w:eastAsia="Times New Roman" w:hAnsi="Times New Roman"/>
                <w:sz w:val="18"/>
                <w:szCs w:val="18"/>
                <w:color w:val="auto"/>
                <w:w w:val="98"/>
              </w:rPr>
              <w:t>(4.4)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7"/>
              </w:rPr>
              <w:t>7.4</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other income (expense), net for 2025 compared to 2024 was primarily attributable to an $8.1 million impairment on an equity investment in 2024, partially offset by lower interest income reflecting lower interest rates and average cash balances.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an income tax provision of $19.5 million for 2025, as compared to an income tax benefit of $25.4 million in 2024. Our effective tax rate was 28.6% and (505.5%) for 2025 and 2024, respectively, as compared to the U.S. federal statutory income tax rate of 21%. Our effective tax rate for 2025 is higher than the U.S. federal statutory income tax rate of 21% primarily due to permanent impacts related to stock-based compensation and state taxes, partially offset by research and development credits. Our effective tax rate for 2024 differs from the U.S. federal statutory income tax rate of 21% primarily due to the decrease in the valuation allowance maintained against our net U.S. deferred tax assets. In the fourth quarter of 2024, we concluded that it is more likely than not that our net U.S. federal and majority state deferred tax assets are realizable, resulting in a valuation allowance release of $27.2 million.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An Act to Provide for Reconciliation Pursuant to Title II of H. Con. Res. 14, commonly known as the One Big Beautiful Bill Act. Included in this legislation are provisions that allow for the immediate expensing of domestic U.S. research and development expenses, immediate expensing of certain capital expenditures, and other changes to the U.S. taxation of profits derived from foreign operations. We have incorporated the new legislation into our income tax provision, as applicable, and determined that there was no material impact on our tax provision for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(loss) to income (loss) from operations, and adjusted EBITDA to net income (loss), the most directly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9"/>
                <w:szCs w:val="19"/>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47.6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operating income margin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6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30.4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(11.8)</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48.2</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38.8</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107.9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97.6</w:t>
            </w:r>
          </w:p>
        </w:tc>
      </w:tr>
      <w:tr>
        <w:trPr>
          <w:trHeight w:val="23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r>
      <w:tr>
        <w:trPr>
          <w:trHeight w:val="26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47.6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55"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(loss) as a percentage of revenue.</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1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non-GAAP operating income increased $48.4 million, or 102%, for 2025 compared to 2024. The increase was driven by a $55.8 million increase in income from operations, partially offset by a $7.4 million decrease in adjustments to reconcile income from operations to non-GAAP operating income, including a $9.0 million restructuring charge in 2024.</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51" w:name="page52"/>
    <w:bookmarkEnd w:id="5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increased $37.1 million, or 35%, for 2025 compared to 2024. The increase was attributable to increases of $18.3 million in net income and $18.8 million in adjustments to reconcile adjusted EBITDA to net income, primarily including $44.9 million for income taxes partially offset by a $9.0 million restructuring charge and an $8.1 million impairment on an equity investment, both in 2024, as well as a $7.7 million decrease for stock-based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December 31, 2025) and long-term (i.e., beyond the next twelve months), have historically been cash generated from operations. Our primary liquidity needs are related to the funding of general business requirements, including working capital requirements, research and development, and capital expenditures, as well as other liquidity requirements including, but not limited to, share repurchases and business combinations.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we had cash and cash equivalents of $98.3 million and $66.3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Known Contractual and Other Obligations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December 31, 2025 is included in Note 8–Commitments and Contingencies in the notes to the consolidated financial statements.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and advertising, which do not qualify for recognition on our consolidated balance sheet but which we consider non-cancellable. As of December 31, 2025, amounts to be spent under non-cancellable purchase obligations were $13.5 million over the next twelve months, and approximately $4 million in 2027 and $1 million in 2028.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We announced on May 2, 2023 that our Board of Directors authorized a plan under which we may repurchase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 million of our Class A common stock and, following our utilization of that share repurchase authorization, we announced on October 26, 2023, September 9, 2024, October 29, 2024, September 13, 2025, and December 16, 2025 that our Board of Directors approved additional share repurchase authorizations under which we may repurchase up to an additional $30 million, $50 million, $25 million, $50 million, and $50 million, respectively, of our Class A common stock (collectively,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us to acquire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 Shares repurchased under the Repurchase Program are retired. We expect to fund repurchases with existing cash and cash equivalents. During 2025, we repurchased 5.8 million shares of Class A common stock for $70.3 million, including costs associated with the repurchases. Additionally, we paid $0.3 million of excise taxes during 2025 which related to previous share repurchases.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2" w:name="page53"/>
    <w:bookmarkEnd w:id="5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20, 2026, our Board of Directors approved an increase in the share repurchase authorization under which we may repurchase up to an additional $100.0 million of our Class A common stock under the Repurchase Program. Between January 1, 2026 and February 23, 2026, we repurchased 4.5 million shares of Class A common stock for $50.6 million, including costs associated with the repurchases. The remaining share repurchase authorization under the Repurchase Program is $104.7 million as of February 23, 2026.</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On September 26, 2023, we, including three of our wholly-owned subsidiaries, entered into a credit agreement (the Credit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On October 1, 2024, we entered into an amendment to the Credit Agreement which, among other things, permits us to acquire an unrestricted subsidiary and/or to invest up to an aggregate of $15 million in unrestricted subsidiaries in any fiscal year, subject to standard provisions and limitations for unrestricted subsidiaries. The Credit Facility matures on September 26, 2028. We had no outstanding balance on our credit facility as of December 31, 2025 or 2024. Our credit facility contains certain financial and non-financial covenants. We were in compliance with all covenants as of December 31, 2025 and 2024. See Note 7–Debt in the notes to the consolidated financial statements for further discussion.</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Warehouse Line of Credit: </w:t>
      </w:r>
      <w:r>
        <w:rPr>
          <w:rFonts w:ascii="Times New Roman" w:cs="Times New Roman" w:eastAsia="Times New Roman" w:hAnsi="Times New Roman"/>
          <w:sz w:val="18"/>
          <w:szCs w:val="18"/>
          <w:color w:val="auto"/>
        </w:rPr>
        <w:t>NDL, a wholly-owned subsidiary, maintains a $15.0 million warehouse line of credit, which may be increased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$18.75 million for up to 90 days subject to certain requirements, to provide NDL short-term funding for mortgage loans originated for sale. Borrowings under the warehouse line of credit bear interest at the greater of the interest rate of the underlying mortgage loans held for sale, subject to a 5.25% minimum rate, and are secured by the underlying promissory notes of the mortgage loans held for sale, as well as NDL’s other assets. The warehouse line of credit matures on February 1, 2027. NDL had $6.9 million and $2.5 million outstanding under the warehouse line of credit with a weighted-average interest rate of 6.27% and 6.77% as of December 31, 2025 and 2024, respectively, which is included in accrued expenses and other current liabilities on our consolidated balance sheet. The warehouse line of credit requires NDL to comply with certain minimum tangible net worth, liquidity and insurance requirements. NDL was in compliance with all covenants as of December 31, 2025 and 2024, respectively. See Note 7–Debt in the notes to the consolidated financial statements for further discussion.</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facility with JPMorgan Chase Bank and a syndicate of other lenders, subject to customary borrowing conditions, will be sufficient to meet our ongoing working capital, capital expenditure and other liquidity requirements for the next twelve months and beyond.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3" w:name="page54"/>
    <w:bookmarkEnd w:id="5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discussion and analysis of our changes in cash flows for 2025 compared to 2024 is presented below. For a discussion of our cash flows for 2024 and 2023, see “Management’s Discussion and Analysis of Financial Condition and Results of Operations–Liquidity and Capital Resources” in our Annual Report on Form 10-K for the year ended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$59.8 million in 2025 compared to 2024, as increases of $18.3 million in net income and $44.2 million in non-cash charges were partially offset by a $2.7 million increase in net cash outflow from changes in operating assets and liabilities. The increase in non-cash charges was primarily due to a $62.1 million increase in deferred taxes, partially offset by decreases of $9.1 million for stock-based compensation and $6.8 million in other losses, net. The increase in net cash outflow from changes in operating assets and liabilities was primarily due to increases of $10.2 million for accounts payable, $6.6 million for mortgage loans held for sale, and $2.7 million for accrued expenses and other current liabilities, partially offset by a $17.6 million decrease for accounts receivable.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$3.6 million in 2025 compared to 2024, primarily due to $12.8 million of cash paid, net of cash acquired, for acquisitions, partially offset by decreases of $6.1 million in purchases of investments and $3.8 million in capitalized software development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$10.4 million in 2025, primarily due to decreases of $9.9 million in repurchases of Class A common stock and $6.4 million related to our warehouse line of credit, partially offset by a $5.2 million decrease from exercises of stock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we believe to be most critical to understanding our financial condition and results of operations are discussed below. For a comprehensive list of all significant accounting policies, see Note 1–The Company and its Significant Accounting Policies in the notes to consolidated financial statements in Item 8 of Part II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Intangible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We have one reporting unit. We test goodwill for impairment annually or more frequently when an event occurs or circumstances change that indicate the carrying value may not be recoverable. As a result of the goodwill impairment assessments in 2025, 2024 and 2023, we determined that it was not more likely than not that the fair value of its single reporting unit was less than its carrying amount. As such, goodwill was not impaired during 2025, 2024 or 2023.</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 intangible assets and other long-lived assets for impairment whenever events or circumstances indicate that they may not be recoverable. Recoverability is assessed by comparing the carrying amount of an asset group to future undiscounted net cash flows expected to be generated. If the carrying amount of an asset group is not recoverable, an impairment loss is recognized if the carrying amount exceeds the fair value of the asset group. We group assets for purposes of such review at the lowest level for which identifiable cash flows of the asset group are largely independent of the cash flows of the other groups of assets and liabilities. Unforeseen events, changes in circumstances and market conditions and material differences in estimates of future cash flows could adversely affect the fair value of our assets and could result in future impairment charges.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 Valuation Allowances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fulfilling the requirement to reduce the measurement of deferred tax assets that are not expected to be realized, we consider all available evidence, both positive and negative, to determine whether, based on the weight of that evidence, a valuation allowance for deferred tax assets is needed. In assessing the adequacy of recognized valuation allowances,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our past assessment of all available evidence, both positive and negative, including consideration of our historical profitability and the estimated impact of our operating model on future profitability, we had previously maintained a valuation allowance against our net U.S. deferred tax assets as of December 31, 2023. During the three months ended December 31, 2024, we concluded that it was more likely than not that our net U.S. Federal and majority state deferred tax assets would be realized, with a significant improvement in our profitability, coupled with anticipated future earnings, deemed to provide positive evidence to support sufficient taxable income in future periods, and accordingly we recorded a valuation allowance release of $27.2 million. We continue to maintain a valuation allowance on our California deferred tax assets, which consist primarily of tax credits, as of December 31, 2025. Our judgment regarding the likelihood of realization of these deferred tax assets could change in future periods, which could result in a material impact to our income tax provision in the period of 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see Note 1–The Company and its Significant Accounting Policies in the notes to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until December 31, 2026.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As a result, our financial statements may not be comparable to companies that comply with new or revised accounting pronouncements as of public company effective dates.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Significantly all of our revenue is generated in U.S. dollars, with the remainder generated in British pounds sterling and the Canadian dollar. Our expenses are generally denominated in the currencies of the jurisdictions in which we conduct our operations, which are primarily in the U.S., UK and Canada.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years ended December 31, 2025, 2024 and 2023.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and cash equivalents primarily consist of cash on hand and highly liquid investments in money market instruments and U.S. government securities. We had cash and cash equivalents of $98.3 million and $66.3 million as of December 31, 2025 and 2024, respectively.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5" w:name="page56"/>
    <w:bookmarkEnd w:id="5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therefore do not expect our operating results or cash flows to be materially affected by a sudden change in market interest rates due to changes in the fair market value of our portfolio. However, changes in market interest rates could adversely impact our business, financial condition and results of operations. For additional information, see the sections titled “Risk Factors—Risks Related to Our Industry and the Consumer Finance Economy.”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future borrowings on our line of credit would be subject to changes in interest rate.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85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7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 of NerdWallet, Inc. and its Consolidated Subsidiaries:</w:t>
            </w:r>
          </w:p>
        </w:tc>
        <w:tc>
          <w:tcPr>
            <w:tcW w:w="660" w:type="dxa"/>
            <w:vAlign w:val="bottom"/>
          </w:tcPr>
          <w:p>
            <w:pPr>
              <w:spacing w:after="0"/>
              <w:rPr>
                <w:sz w:val="23"/>
                <w:szCs w:val="23"/>
                <w:color w:val="auto"/>
              </w:rPr>
            </w:pP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bl>
    <w:p>
      <w:pPr>
        <w:spacing w:after="0" w:line="21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as the information is provided in the financial statements or in related notes thereto, or is not required to be filed as the information is 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7" w:name="page58"/>
    <w:bookmarkEnd w:id="57"/>
    <w:p>
      <w:pPr>
        <w:ind w:right="2540" w:firstLine="2535"/>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NerdWallet,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NerdWallet, Inc. and subsidiaries (the “Company”) as of December 31, 2025 and 2024, and the related consolidated statements of operations,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cash flows for each of the three years in the period ended December 31, 2025,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8" w:name="page59"/>
    <w:bookmarkEnd w:id="58"/>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p>
        </w:tc>
        <w:tc>
          <w:tcPr>
            <w:tcW w:w="2400" w:type="dxa"/>
            <w:vAlign w:val="bottom"/>
          </w:tcPr>
          <w:p>
            <w:pPr>
              <w:spacing w:after="0"/>
              <w:rPr>
                <w:sz w:val="16"/>
                <w:szCs w:val="16"/>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58" w:lineRule="exact"/>
        <w:rPr>
          <w:sz w:val="20"/>
          <w:szCs w:val="20"/>
          <w:color w:val="auto"/>
        </w:rPr>
      </w:pPr>
    </w:p>
    <w:p>
      <w:pPr>
        <w:sectPr>
          <w:pgSz w:w="11900" w:h="16838" w:orient="portrait"/>
          <w:cols w:equalWidth="0" w:num="2">
            <w:col w:w="9720" w:space="720"/>
            <w:col w:w="780"/>
          </w:cols>
          <w:pgMar w:left="320" w:top="117"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90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98.3</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111.0</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244.7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31.8</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123.5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21.5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29.4</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7.1</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3.1</w:t>
      </w:r>
    </w:p>
    <w:p>
      <w:pPr>
        <w:spacing w:after="0" w:line="4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461.1</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8401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66.3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102.2</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196.7</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43.0</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112.4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33.3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45.6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69850</wp:posOffset>
            </wp:positionV>
            <wp:extent cx="8401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17"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71,289 and 74,108 shares issued and</w:t>
            </w: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2025 and 2024</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9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8.9</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60.1</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530.9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364.2</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62865</wp:posOffset>
            </wp:positionV>
            <wp:extent cx="8401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ectPr>
          <w:pgSz w:w="11900" w:h="16838" w:orient="portrait"/>
          <w:cols w:equalWidth="0" w:num="2">
            <w:col w:w="10020" w:space="660"/>
            <w:col w:w="540"/>
          </w:cols>
          <w:pgMar w:left="320" w:top="117" w:right="35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599.4</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3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gains (losses),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6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(Loss) per Share Attributable to</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5"/>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6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
        </w:trPr>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rPr>
                <w:sz w:val="15"/>
                <w:szCs w:val="15"/>
                <w:color w:val="auto"/>
              </w:rPr>
            </w:pPr>
          </w:p>
        </w:tc>
        <w:tc>
          <w:tcPr>
            <w:tcW w:w="1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64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704659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46595" cy="180340"/>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46595" cy="265430"/>
                    </a:xfrm>
                    <a:prstGeom prst="rect">
                      <a:avLst/>
                    </a:prstGeom>
                    <a:noFill/>
                  </pic:spPr>
                </pic:pic>
              </a:graphicData>
            </a:graphic>
          </wp:anchor>
        </w:drawing>
      </w:r>
    </w:p>
    <w:p>
      <w:pPr>
        <w:spacing w:after="0" w:line="7" w:lineRule="exact"/>
        <w:rPr>
          <w:sz w:val="20"/>
          <w:szCs w:val="20"/>
          <w:color w:val="auto"/>
        </w:rPr>
      </w:pPr>
    </w:p>
    <w:p>
      <w:pPr>
        <w:ind w:left="26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260" w:right="4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9525</wp:posOffset>
            </wp:positionV>
            <wp:extent cx="704659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660" w:val="left"/>
          <w:tab w:leader="none" w:pos="1120" w:val="left"/>
        </w:tabs>
        <w:rPr>
          <w:sz w:val="20"/>
          <w:szCs w:val="20"/>
          <w:color w:val="auto"/>
        </w:rPr>
      </w:pPr>
      <w:r>
        <w:rPr>
          <w:rFonts w:ascii="Times New Roman" w:cs="Times New Roman" w:eastAsia="Times New Roman" w:hAnsi="Times New Roman"/>
          <w:sz w:val="18"/>
          <w:szCs w:val="18"/>
          <w:b w:val="1"/>
          <w:bCs w:val="1"/>
          <w:color w:val="auto"/>
        </w:rPr>
        <w:t>75,120</w:t>
        <w:tab/>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color w:val="auto"/>
        </w:rPr>
        <w:t>1,584</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color w:val="auto"/>
        </w:rPr>
        <w:t>2,253</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140" w:hanging="891"/>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w:t>
      </w:r>
    </w:p>
    <w:p>
      <w:pPr>
        <w:spacing w:after="0" w:line="6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(2,268)</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548640</wp:posOffset>
            </wp:positionV>
            <wp:extent cx="1028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  427.3</w:t>
      </w:r>
      <w:r>
        <w:rPr>
          <w:sz w:val="20"/>
          <w:szCs w:val="20"/>
          <w:color w:val="auto"/>
        </w:rPr>
        <w:tab/>
      </w:r>
      <w:r>
        <w:rPr>
          <w:rFonts w:ascii="Times New Roman" w:cs="Times New Roman" w:eastAsia="Times New Roman" w:hAnsi="Times New Roman"/>
          <w:sz w:val="16"/>
          <w:szCs w:val="16"/>
          <w:b w:val="1"/>
          <w:bCs w:val="1"/>
          <w:color w:val="auto"/>
        </w:rPr>
        <w:t>$</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(1.1)</w:t>
      </w:r>
    </w:p>
    <w:p>
      <w:pPr>
        <w:spacing w:after="0" w:line="90"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3.0</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377190</wp:posOffset>
            </wp:positionV>
            <wp:extent cx="4629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right"/>
        <w:ind w:right="60"/>
        <w:spacing w:after="0"/>
        <w:tabs>
          <w:tab w:leader="none" w:pos="1380" w:val="left"/>
          <w:tab w:leader="none" w:pos="420" w:val="left"/>
        </w:tabs>
        <w:rPr>
          <w:sz w:val="20"/>
          <w:szCs w:val="20"/>
          <w:color w:val="auto"/>
        </w:rPr>
      </w:pPr>
      <w:r>
        <w:rPr>
          <w:rFonts w:ascii="Times New Roman" w:cs="Times New Roman" w:eastAsia="Times New Roman" w:hAnsi="Times New Roman"/>
          <w:sz w:val="18"/>
          <w:szCs w:val="18"/>
          <w:b w:val="1"/>
          <w:bCs w:val="1"/>
          <w:color w:val="auto"/>
        </w:rPr>
        <w:t>(0.9)  $</w:t>
        <w:tab/>
        <w:t>(84.7)  $</w:t>
      </w:r>
      <w:r>
        <w:rPr>
          <w:sz w:val="20"/>
          <w:szCs w:val="20"/>
          <w:color w:val="auto"/>
        </w:rPr>
        <w:tab/>
      </w:r>
      <w:r>
        <w:rPr>
          <w:rFonts w:ascii="Times New Roman" w:cs="Times New Roman" w:eastAsia="Times New Roman" w:hAnsi="Times New Roman"/>
          <w:sz w:val="17"/>
          <w:szCs w:val="17"/>
          <w:b w:val="1"/>
          <w:bCs w:val="1"/>
          <w:color w:val="auto"/>
        </w:rPr>
        <w:t>341.7</w:t>
      </w:r>
    </w:p>
    <w:p>
      <w:pPr>
        <w:spacing w:after="0" w:line="6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10.2</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w:t>
      </w:r>
    </w:p>
    <w:p>
      <w:pPr>
        <w:spacing w:after="0" w:line="63" w:lineRule="exact"/>
        <w:rPr>
          <w:sz w:val="20"/>
          <w:szCs w:val="20"/>
          <w:color w:val="auto"/>
        </w:rPr>
      </w:pPr>
    </w:p>
    <w:p>
      <w:pPr>
        <w:jc w:val="right"/>
        <w:ind w:right="20"/>
        <w:spacing w:after="0"/>
        <w:tabs>
          <w:tab w:leader="none" w:pos="400" w:val="left"/>
        </w:tabs>
        <w:rPr>
          <w:sz w:val="20"/>
          <w:szCs w:val="20"/>
          <w:color w:val="auto"/>
        </w:rPr>
      </w:pPr>
      <w:r>
        <w:rPr>
          <w:rFonts w:ascii="Times New Roman" w:cs="Times New Roman" w:eastAsia="Times New Roman" w:hAnsi="Times New Roman"/>
          <w:sz w:val="18"/>
          <w:szCs w:val="18"/>
          <w:color w:val="auto"/>
        </w:rPr>
        <w:t>(20.0)</w:t>
      </w:r>
      <w:r>
        <w:rPr>
          <w:sz w:val="20"/>
          <w:szCs w:val="20"/>
          <w:color w:val="auto"/>
        </w:rPr>
        <w:tab/>
      </w:r>
      <w:r>
        <w:rPr>
          <w:rFonts w:ascii="Times New Roman" w:cs="Times New Roman" w:eastAsia="Times New Roman" w:hAnsi="Times New Roman"/>
          <w:sz w:val="17"/>
          <w:szCs w:val="17"/>
          <w:color w:val="auto"/>
        </w:rPr>
        <w:t>(20.0)</w:t>
      </w:r>
    </w:p>
    <w:p>
      <w:pPr>
        <w:spacing w:after="0" w:line="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44.3</w:t>
      </w:r>
    </w:p>
    <w:p>
      <w:pPr>
        <w:spacing w:after="0" w:line="63" w:lineRule="exact"/>
        <w:rPr>
          <w:sz w:val="20"/>
          <w:szCs w:val="20"/>
          <w:color w:val="auto"/>
        </w:rPr>
      </w:pPr>
    </w:p>
    <w:p>
      <w:pPr>
        <w:ind w:left="80"/>
        <w:spacing w:after="0"/>
        <w:tabs>
          <w:tab w:leader="none" w:pos="1980" w:val="left"/>
        </w:tabs>
        <w:rPr>
          <w:sz w:val="20"/>
          <w:szCs w:val="20"/>
          <w:color w:val="auto"/>
        </w:rPr>
      </w:pPr>
      <w:r>
        <w:rPr>
          <w:rFonts w:ascii="Times New Roman" w:cs="Times New Roman" w:eastAsia="Times New Roman" w:hAnsi="Times New Roman"/>
          <w:sz w:val="18"/>
          <w:szCs w:val="18"/>
          <w:color w:val="auto"/>
        </w:rPr>
        <w:t>0.6</w:t>
      </w:r>
      <w:r>
        <w:rPr>
          <w:sz w:val="20"/>
          <w:szCs w:val="20"/>
          <w:color w:val="auto"/>
        </w:rPr>
        <w:tab/>
      </w:r>
      <w:r>
        <w:rPr>
          <w:rFonts w:ascii="Times New Roman" w:cs="Times New Roman" w:eastAsia="Times New Roman" w:hAnsi="Times New Roman"/>
          <w:sz w:val="17"/>
          <w:szCs w:val="17"/>
          <w:color w:val="auto"/>
        </w:rPr>
        <w:t>0.6</w:t>
      </w:r>
    </w:p>
    <w:p>
      <w:pPr>
        <w:spacing w:after="0" w:line="63" w:lineRule="exact"/>
        <w:rPr>
          <w:sz w:val="20"/>
          <w:szCs w:val="20"/>
          <w:color w:val="auto"/>
        </w:rPr>
      </w:pPr>
    </w:p>
    <w:p>
      <w:pPr>
        <w:jc w:val="right"/>
        <w:ind w:right="20"/>
        <w:spacing w:after="0"/>
        <w:tabs>
          <w:tab w:leader="none" w:pos="40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34290</wp:posOffset>
            </wp:positionV>
            <wp:extent cx="18516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4">
            <w:col w:w="5580" w:space="400"/>
            <w:col w:w="1320" w:space="160"/>
            <w:col w:w="900" w:space="520"/>
            <w:col w:w="2280"/>
          </w:cols>
          <w:pgMar w:left="320" w:top="117" w:right="419" w:bottom="1440" w:gutter="0" w:footer="0" w:header="0"/>
          <w:type w:val="continuous"/>
        </w:sectPr>
      </w:pP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4659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26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260" w:right="4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-255905</wp:posOffset>
            </wp:positionV>
            <wp:extent cx="7046595"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46595" cy="26543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465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660" w:val="left"/>
          <w:tab w:leader="none" w:pos="1120" w:val="left"/>
        </w:tabs>
        <w:rPr>
          <w:sz w:val="20"/>
          <w:szCs w:val="20"/>
          <w:color w:val="auto"/>
        </w:rPr>
      </w:pPr>
      <w:r>
        <w:rPr>
          <w:rFonts w:ascii="Times New Roman" w:cs="Times New Roman" w:eastAsia="Times New Roman" w:hAnsi="Times New Roman"/>
          <w:sz w:val="18"/>
          <w:szCs w:val="18"/>
          <w:b w:val="1"/>
          <w:bCs w:val="1"/>
          <w:color w:val="auto"/>
        </w:rPr>
        <w:t>76,940</w:t>
        <w:tab/>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left="1140" w:hanging="906"/>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2,709—</w:t>
      </w:r>
    </w:p>
    <w:p>
      <w:pPr>
        <w:spacing w:after="0" w:line="212" w:lineRule="exact"/>
        <w:rPr>
          <w:sz w:val="20"/>
          <w:szCs w:val="20"/>
          <w:color w:val="auto"/>
        </w:rPr>
      </w:pPr>
    </w:p>
    <w:p>
      <w:pPr>
        <w:ind w:left="1140" w:hanging="981"/>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w:t>
      </w:r>
    </w:p>
    <w:p>
      <w:pPr>
        <w:spacing w:after="0" w:line="6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(6,486)</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  483.7</w:t>
      </w:r>
      <w:r>
        <w:rPr>
          <w:sz w:val="20"/>
          <w:szCs w:val="20"/>
          <w:color w:val="auto"/>
        </w:rPr>
        <w:tab/>
      </w:r>
      <w:r>
        <w:rPr>
          <w:rFonts w:ascii="Times New Roman" w:cs="Times New Roman" w:eastAsia="Times New Roman" w:hAnsi="Times New Roman"/>
          <w:sz w:val="16"/>
          <w:szCs w:val="16"/>
          <w:b w:val="1"/>
          <w:bCs w:val="1"/>
          <w:color w:val="auto"/>
        </w:rPr>
        <w: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(2.1)</w:t>
      </w:r>
    </w:p>
    <w:p>
      <w:pPr>
        <w:spacing w:after="0" w:line="63"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1.4</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41.6</w:t>
      </w:r>
    </w:p>
    <w:p>
      <w:pPr>
        <w:spacing w:after="0" w:line="20" w:lineRule="exact"/>
        <w:rPr>
          <w:sz w:val="20"/>
          <w:szCs w:val="20"/>
          <w:color w:val="auto"/>
        </w:rPr>
      </w:pPr>
      <w:r>
        <w:rPr>
          <w:sz w:val="20"/>
          <w:szCs w:val="20"/>
          <w:color w:val="auto"/>
        </w:rPr>
        <w:br w:type="column"/>
      </w:r>
    </w:p>
    <w:p>
      <w:pPr>
        <w:jc w:val="right"/>
        <w:ind w:right="60"/>
        <w:spacing w:after="0"/>
        <w:tabs>
          <w:tab w:leader="none" w:pos="1460" w:val="left"/>
          <w:tab w:leader="none" w:pos="420" w:val="left"/>
        </w:tabs>
        <w:rPr>
          <w:sz w:val="20"/>
          <w:szCs w:val="20"/>
          <w:color w:val="auto"/>
        </w:rPr>
      </w:pPr>
      <w:r>
        <w:rPr>
          <w:rFonts w:ascii="Times New Roman" w:cs="Times New Roman" w:eastAsia="Times New Roman" w:hAnsi="Times New Roman"/>
          <w:sz w:val="18"/>
          <w:szCs w:val="18"/>
          <w:b w:val="1"/>
          <w:bCs w:val="1"/>
          <w:color w:val="auto"/>
        </w:rPr>
        <w:t>(0.3)  $</w:t>
        <w:tab/>
        <w:t>(116.5)  $</w:t>
      </w:r>
      <w:r>
        <w:rPr>
          <w:sz w:val="20"/>
          <w:szCs w:val="20"/>
          <w:color w:val="auto"/>
        </w:rPr>
        <w:tab/>
      </w:r>
      <w:r>
        <w:rPr>
          <w:rFonts w:ascii="Times New Roman" w:cs="Times New Roman" w:eastAsia="Times New Roman" w:hAnsi="Times New Roman"/>
          <w:sz w:val="17"/>
          <w:szCs w:val="17"/>
          <w:b w:val="1"/>
          <w:bCs w:val="1"/>
          <w:color w:val="auto"/>
        </w:rPr>
        <w:t>366.9</w:t>
      </w:r>
    </w:p>
    <w:p>
      <w:pPr>
        <w:spacing w:after="0" w:line="6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ind w:right="20"/>
        <w:spacing w:after="0"/>
        <w:tabs>
          <w:tab w:leader="none" w:pos="400" w:val="left"/>
        </w:tabs>
        <w:rPr>
          <w:sz w:val="20"/>
          <w:szCs w:val="20"/>
          <w:color w:val="auto"/>
        </w:rPr>
      </w:pPr>
      <w:r>
        <w:rPr>
          <w:rFonts w:ascii="Times New Roman" w:cs="Times New Roman" w:eastAsia="Times New Roman" w:hAnsi="Times New Roman"/>
          <w:sz w:val="18"/>
          <w:szCs w:val="18"/>
          <w:color w:val="auto"/>
        </w:rPr>
        <w:t>(80.4)</w:t>
      </w:r>
      <w:r>
        <w:rPr>
          <w:sz w:val="20"/>
          <w:szCs w:val="20"/>
          <w:color w:val="auto"/>
        </w:rPr>
        <w:tab/>
      </w:r>
      <w:r>
        <w:rPr>
          <w:rFonts w:ascii="Times New Roman" w:cs="Times New Roman" w:eastAsia="Times New Roman" w:hAnsi="Times New Roman"/>
          <w:sz w:val="17"/>
          <w:szCs w:val="17"/>
          <w:color w:val="auto"/>
        </w:rPr>
        <w:t>(80.4)</w:t>
      </w:r>
    </w:p>
    <w:p>
      <w:pPr>
        <w:spacing w:after="0" w:line="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41.6</w:t>
      </w:r>
    </w:p>
    <w:p>
      <w:pPr>
        <w:spacing w:after="0" w:line="63" w:lineRule="exact"/>
        <w:rPr>
          <w:sz w:val="20"/>
          <w:szCs w:val="20"/>
          <w:color w:val="auto"/>
        </w:rPr>
      </w:pPr>
    </w:p>
    <w:p>
      <w:pPr>
        <w:ind w:left="80"/>
        <w:spacing w:after="0"/>
        <w:tabs>
          <w:tab w:leader="none" w:pos="1980" w:val="left"/>
        </w:tabs>
        <w:rPr>
          <w:sz w:val="20"/>
          <w:szCs w:val="20"/>
          <w:color w:val="auto"/>
        </w:rPr>
      </w:pPr>
      <w:r>
        <w:rPr>
          <w:rFonts w:ascii="Times New Roman" w:cs="Times New Roman" w:eastAsia="Times New Roman" w:hAnsi="Times New Roman"/>
          <w:sz w:val="18"/>
          <w:szCs w:val="18"/>
          <w:color w:val="auto"/>
        </w:rPr>
        <w:t>0.1</w:t>
      </w:r>
      <w:r>
        <w:rPr>
          <w:sz w:val="20"/>
          <w:szCs w:val="20"/>
          <w:color w:val="auto"/>
        </w:rPr>
        <w:tab/>
      </w:r>
      <w:r>
        <w:rPr>
          <w:rFonts w:ascii="Times New Roman" w:cs="Times New Roman" w:eastAsia="Times New Roman" w:hAnsi="Times New Roman"/>
          <w:sz w:val="17"/>
          <w:szCs w:val="17"/>
          <w:color w:val="auto"/>
        </w:rPr>
        <w:t>0.1</w:t>
      </w:r>
    </w:p>
    <w:p>
      <w:pPr>
        <w:spacing w:after="0" w:line="63"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color w:val="auto"/>
        </w:rPr>
        <w:t>30.4</w:t>
      </w:r>
    </w:p>
    <w:p>
      <w:pPr>
        <w:spacing w:after="0" w:line="73" w:lineRule="exact"/>
        <w:rPr>
          <w:sz w:val="20"/>
          <w:szCs w:val="20"/>
          <w:color w:val="auto"/>
        </w:rPr>
      </w:pPr>
    </w:p>
    <w:p>
      <w:pPr>
        <w:sectPr>
          <w:pgSz w:w="11900" w:h="16838" w:orient="portrait"/>
          <w:cols w:equalWidth="0" w:num="4">
            <w:col w:w="5580" w:space="400"/>
            <w:col w:w="1320" w:space="160"/>
            <w:col w:w="900" w:space="520"/>
            <w:col w:w="2280"/>
          </w:cols>
          <w:pgMar w:left="320" w:top="117" w:right="419" w:bottom="1440" w:gutter="0" w:footer="0" w:header="0"/>
          <w:type w:val="continuous"/>
        </w:sectPr>
      </w:pP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46595" cy="265430"/>
                    </a:xfrm>
                    <a:prstGeom prst="rect">
                      <a:avLst/>
                    </a:prstGeom>
                    <a:noFill/>
                  </pic:spPr>
                </pic:pic>
              </a:graphicData>
            </a:graphic>
          </wp:anchor>
        </w:drawing>
      </w:r>
    </w:p>
    <w:p>
      <w:pPr>
        <w:spacing w:after="0" w:line="7" w:lineRule="exact"/>
        <w:rPr>
          <w:sz w:val="20"/>
          <w:szCs w:val="20"/>
          <w:color w:val="auto"/>
        </w:rPr>
      </w:pPr>
    </w:p>
    <w:p>
      <w:pPr>
        <w:ind w:left="26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260" w:right="4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9525</wp:posOffset>
            </wp:positionV>
            <wp:extent cx="704659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4659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tabs>
          <w:tab w:leader="none" w:pos="660" w:val="left"/>
          <w:tab w:leader="none" w:pos="1120" w:val="left"/>
        </w:tabs>
        <w:rPr>
          <w:sz w:val="20"/>
          <w:szCs w:val="20"/>
          <w:color w:val="auto"/>
        </w:rPr>
      </w:pPr>
      <w:r>
        <w:rPr>
          <w:rFonts w:ascii="Times New Roman" w:cs="Times New Roman" w:eastAsia="Times New Roman" w:hAnsi="Times New Roman"/>
          <w:sz w:val="18"/>
          <w:szCs w:val="18"/>
          <w:b w:val="1"/>
          <w:bCs w:val="1"/>
          <w:color w:val="auto"/>
        </w:rPr>
        <w:t>74,108</w:t>
        <w:tab/>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left="1140" w:hanging="906"/>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2,897—</w:t>
      </w:r>
    </w:p>
    <w:p>
      <w:pPr>
        <w:spacing w:after="0" w:line="212" w:lineRule="exact"/>
        <w:rPr>
          <w:sz w:val="20"/>
          <w:szCs w:val="20"/>
          <w:color w:val="auto"/>
        </w:rPr>
      </w:pPr>
    </w:p>
    <w:p>
      <w:pPr>
        <w:ind w:left="1140" w:hanging="981"/>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w:t>
      </w:r>
    </w:p>
    <w:p>
      <w:pPr>
        <w:spacing w:after="0" w:line="6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(5,834)</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548640</wp:posOffset>
            </wp:positionV>
            <wp:extent cx="1028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  530.9</w:t>
      </w:r>
      <w:r>
        <w:rPr>
          <w:sz w:val="20"/>
          <w:szCs w:val="20"/>
          <w:color w:val="auto"/>
        </w:rPr>
        <w:tab/>
      </w:r>
      <w:r>
        <w:rPr>
          <w:rFonts w:ascii="Times New Roman" w:cs="Times New Roman" w:eastAsia="Times New Roman" w:hAnsi="Times New Roman"/>
          <w:sz w:val="16"/>
          <w:szCs w:val="16"/>
          <w:b w:val="1"/>
          <w:bCs w:val="1"/>
          <w:color w:val="auto"/>
        </w:rPr>
        <w:t>$</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(3.5)</w:t>
      </w:r>
    </w:p>
    <w:p>
      <w:pPr>
        <w:spacing w:after="0" w:line="63"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2.1</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360045</wp:posOffset>
            </wp:positionV>
            <wp:extent cx="4629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0"/>
        <w:spacing w:after="0"/>
        <w:tabs>
          <w:tab w:leader="none" w:pos="1480" w:val="left"/>
          <w:tab w:leader="none" w:pos="420" w:val="left"/>
        </w:tabs>
        <w:rPr>
          <w:sz w:val="20"/>
          <w:szCs w:val="20"/>
          <w:color w:val="auto"/>
        </w:rPr>
      </w:pPr>
      <w:r>
        <w:rPr>
          <w:rFonts w:ascii="Times New Roman" w:cs="Times New Roman" w:eastAsia="Times New Roman" w:hAnsi="Times New Roman"/>
          <w:sz w:val="18"/>
          <w:szCs w:val="18"/>
          <w:b w:val="1"/>
          <w:bCs w:val="1"/>
          <w:color w:val="auto"/>
        </w:rPr>
        <w:t>(0.2)  $</w:t>
        <w:tab/>
        <w:t>(166.5)  $</w:t>
      </w:r>
      <w:r>
        <w:rPr>
          <w:sz w:val="20"/>
          <w:szCs w:val="20"/>
          <w:color w:val="auto"/>
        </w:rPr>
        <w:tab/>
      </w:r>
      <w:r>
        <w:rPr>
          <w:rFonts w:ascii="Times New Roman" w:cs="Times New Roman" w:eastAsia="Times New Roman" w:hAnsi="Times New Roman"/>
          <w:sz w:val="17"/>
          <w:szCs w:val="17"/>
          <w:b w:val="1"/>
          <w:bCs w:val="1"/>
          <w:color w:val="auto"/>
        </w:rPr>
        <w:t>364.2</w:t>
      </w:r>
    </w:p>
    <w:p>
      <w:pPr>
        <w:spacing w:after="0" w:line="6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w:t>
      </w:r>
    </w:p>
    <w:p>
      <w:pPr>
        <w:spacing w:after="0" w:line="63" w:lineRule="exact"/>
        <w:rPr>
          <w:sz w:val="20"/>
          <w:szCs w:val="20"/>
          <w:color w:val="auto"/>
        </w:rPr>
      </w:pPr>
    </w:p>
    <w:p>
      <w:pPr>
        <w:jc w:val="right"/>
        <w:ind w:right="20"/>
        <w:spacing w:after="0"/>
        <w:tabs>
          <w:tab w:leader="none" w:pos="400" w:val="left"/>
        </w:tabs>
        <w:rPr>
          <w:sz w:val="20"/>
          <w:szCs w:val="20"/>
          <w:color w:val="auto"/>
        </w:rPr>
      </w:pPr>
      <w:r>
        <w:rPr>
          <w:rFonts w:ascii="Times New Roman" w:cs="Times New Roman" w:eastAsia="Times New Roman" w:hAnsi="Times New Roman"/>
          <w:sz w:val="18"/>
          <w:szCs w:val="18"/>
          <w:color w:val="auto"/>
        </w:rPr>
        <w:t>(70.3)</w:t>
      </w:r>
      <w:r>
        <w:rPr>
          <w:sz w:val="20"/>
          <w:szCs w:val="20"/>
          <w:color w:val="auto"/>
        </w:rPr>
        <w:tab/>
      </w:r>
      <w:r>
        <w:rPr>
          <w:rFonts w:ascii="Times New Roman" w:cs="Times New Roman" w:eastAsia="Times New Roman" w:hAnsi="Times New Roman"/>
          <w:sz w:val="17"/>
          <w:szCs w:val="17"/>
          <w:color w:val="auto"/>
        </w:rPr>
        <w:t>(70.3)</w:t>
      </w:r>
    </w:p>
    <w:p>
      <w:pPr>
        <w:spacing w:after="0" w:line="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31.9</w:t>
      </w:r>
    </w:p>
    <w:p>
      <w:pPr>
        <w:spacing w:after="0" w:line="63" w:lineRule="exact"/>
        <w:rPr>
          <w:sz w:val="20"/>
          <w:szCs w:val="20"/>
          <w:color w:val="auto"/>
        </w:rPr>
      </w:pPr>
    </w:p>
    <w:p>
      <w:pPr>
        <w:ind w:left="80"/>
        <w:spacing w:after="0"/>
        <w:tabs>
          <w:tab w:leader="none" w:pos="1980" w:val="left"/>
        </w:tabs>
        <w:rPr>
          <w:sz w:val="20"/>
          <w:szCs w:val="20"/>
          <w:color w:val="auto"/>
        </w:rPr>
      </w:pPr>
      <w:r>
        <w:rPr>
          <w:rFonts w:ascii="Times New Roman" w:cs="Times New Roman" w:eastAsia="Times New Roman" w:hAnsi="Times New Roman"/>
          <w:sz w:val="18"/>
          <w:szCs w:val="18"/>
          <w:color w:val="auto"/>
        </w:rPr>
        <w:t>0.3</w:t>
      </w:r>
      <w:r>
        <w:rPr>
          <w:sz w:val="20"/>
          <w:szCs w:val="20"/>
          <w:color w:val="auto"/>
        </w:rPr>
        <w:tab/>
      </w:r>
      <w:r>
        <w:rPr>
          <w:rFonts w:ascii="Times New Roman" w:cs="Times New Roman" w:eastAsia="Times New Roman" w:hAnsi="Times New Roman"/>
          <w:sz w:val="17"/>
          <w:szCs w:val="17"/>
          <w:color w:val="auto"/>
        </w:rPr>
        <w:t>0.3</w:t>
      </w:r>
    </w:p>
    <w:p>
      <w:pPr>
        <w:spacing w:after="0" w:line="63" w:lineRule="exact"/>
        <w:rPr>
          <w:sz w:val="20"/>
          <w:szCs w:val="20"/>
          <w:color w:val="auto"/>
        </w:rPr>
      </w:pPr>
    </w:p>
    <w:p>
      <w:pPr>
        <w:ind w:left="940"/>
        <w:spacing w:after="0"/>
        <w:tabs>
          <w:tab w:leader="none" w:pos="1880" w:val="left"/>
        </w:tabs>
        <w:rPr>
          <w:sz w:val="20"/>
          <w:szCs w:val="20"/>
          <w:color w:val="auto"/>
        </w:rPr>
      </w:pPr>
      <w:r>
        <w:rPr>
          <w:rFonts w:ascii="Times New Roman" w:cs="Times New Roman" w:eastAsia="Times New Roman" w:hAnsi="Times New Roman"/>
          <w:sz w:val="18"/>
          <w:szCs w:val="18"/>
          <w:color w:val="auto"/>
        </w:rPr>
        <w:t>48.7</w:t>
      </w:r>
      <w:r>
        <w:rPr>
          <w:sz w:val="20"/>
          <w:szCs w:val="20"/>
          <w:color w:val="auto"/>
        </w:rPr>
        <w:tab/>
      </w:r>
      <w:r>
        <w:rPr>
          <w:rFonts w:ascii="Times New Roman" w:cs="Times New Roman" w:eastAsia="Times New Roman" w:hAnsi="Times New Roman"/>
          <w:sz w:val="18"/>
          <w:szCs w:val="18"/>
          <w:color w:val="auto"/>
        </w:rPr>
        <w:t>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34290</wp:posOffset>
            </wp:positionV>
            <wp:extent cx="18516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4">
            <w:col w:w="5580" w:space="400"/>
            <w:col w:w="1320" w:space="160"/>
            <w:col w:w="900" w:space="520"/>
            <w:col w:w="2280"/>
          </w:cols>
          <w:pgMar w:left="320" w:top="117" w:right="419" w:bottom="1440" w:gutter="0" w:footer="0" w:header="0"/>
          <w:type w:val="continuous"/>
        </w:sectPr>
      </w:pPr>
    </w:p>
    <w:p>
      <w:pPr>
        <w:ind w:left="100"/>
        <w:spacing w:after="0"/>
        <w:tabs>
          <w:tab w:leader="none" w:pos="5960" w:val="left"/>
          <w:tab w:leader="none" w:pos="6640" w:val="left"/>
          <w:tab w:leader="none" w:pos="7100" w:val="left"/>
        </w:tabs>
        <w:rPr>
          <w:sz w:val="20"/>
          <w:szCs w:val="20"/>
          <w:color w:val="auto"/>
        </w:rPr>
      </w:pPr>
      <w:r>
        <w:rPr>
          <w:rFonts w:ascii="Times New Roman" w:cs="Times New Roman" w:eastAsia="Times New Roman" w:hAnsi="Times New Roman"/>
          <w:sz w:val="18"/>
          <w:szCs w:val="18"/>
          <w:b w:val="1"/>
          <w:bCs w:val="1"/>
          <w:color w:val="auto"/>
        </w:rPr>
        <w:t>Balance as of December 31, 2025</w:t>
      </w:r>
      <w:r>
        <w:rPr>
          <w:sz w:val="20"/>
          <w:szCs w:val="20"/>
          <w:color w:val="auto"/>
        </w:rPr>
        <w:tab/>
      </w:r>
      <w:r>
        <w:rPr>
          <w:rFonts w:ascii="Times New Roman" w:cs="Times New Roman" w:eastAsia="Times New Roman" w:hAnsi="Times New Roman"/>
          <w:sz w:val="36"/>
          <w:szCs w:val="36"/>
          <w:b w:val="1"/>
          <w:bCs w:val="1"/>
          <w:color w:val="auto"/>
          <w:vertAlign w:val="superscript"/>
        </w:rPr>
        <w:t>71,289</w:t>
      </w:r>
      <w:r>
        <w:rPr>
          <w:rFonts w:ascii="Times New Roman" w:cs="Times New Roman" w:eastAsia="Times New Roman" w:hAnsi="Times New Roman"/>
          <w:sz w:val="36"/>
          <w:szCs w:val="36"/>
          <w:b w:val="1"/>
          <w:bCs w:val="1"/>
          <w:color w:val="auto"/>
        </w:rPr>
        <w:tab/>
      </w:r>
      <w:r>
        <w:rPr>
          <w:rFonts w:ascii="Times New Roman" w:cs="Times New Roman" w:eastAsia="Times New Roman" w:hAnsi="Times New Roman"/>
          <w:sz w:val="36"/>
          <w:szCs w:val="36"/>
          <w:b w:val="1"/>
          <w:bCs w:val="1"/>
          <w:color w:val="auto"/>
          <w:vertAlign w:val="superscript"/>
        </w:rPr>
        <w:t>$</w:t>
      </w:r>
      <w:r>
        <w:rPr>
          <w:sz w:val="20"/>
          <w:szCs w:val="20"/>
          <w:color w:val="auto"/>
        </w:rPr>
        <w:tab/>
      </w:r>
      <w:r>
        <w:rPr>
          <w:rFonts w:ascii="Times New Roman" w:cs="Times New Roman" w:eastAsia="Times New Roman" w:hAnsi="Times New Roman"/>
          <w:sz w:val="26"/>
          <w:szCs w:val="26"/>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-93980</wp:posOffset>
            </wp:positionV>
            <wp:extent cx="102870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  562.5</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4629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45720</wp:posOffset>
            </wp:positionV>
            <wp:extent cx="4629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80" w:val="left"/>
          <w:tab w:leader="none" w:pos="660" w:val="left"/>
          <w:tab w:leader="none" w:pos="1720" w:val="left"/>
        </w:tabs>
        <w:rPr>
          <w:sz w:val="20"/>
          <w:szCs w:val="20"/>
          <w:color w:val="auto"/>
        </w:rPr>
      </w:pPr>
      <w:r>
        <w:rPr>
          <w:rFonts w:ascii="Times New Roman" w:cs="Times New Roman" w:eastAsia="Times New Roman" w:hAnsi="Times New Roman"/>
          <w:sz w:val="18"/>
          <w:szCs w:val="18"/>
          <w:b w:val="1"/>
          <w:bCs w:val="1"/>
          <w:color w:val="auto"/>
        </w:rPr>
        <w:t>0.1</w:t>
        <w:tab/>
        <w:t>$</w:t>
        <w:tab/>
        <w:t>(188.1)  $</w:t>
      </w:r>
      <w:r>
        <w:rPr>
          <w:sz w:val="20"/>
          <w:szCs w:val="20"/>
          <w:color w:val="auto"/>
        </w:rPr>
        <w:tab/>
      </w:r>
      <w:r>
        <w:rPr>
          <w:rFonts w:ascii="Times New Roman" w:cs="Times New Roman" w:eastAsia="Times New Roman" w:hAnsi="Times New Roman"/>
          <w:sz w:val="17"/>
          <w:szCs w:val="17"/>
          <w:b w:val="1"/>
          <w:bCs w:val="1"/>
          <w:color w:val="auto"/>
        </w:rPr>
        <w:t>374.5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36830</wp:posOffset>
            </wp:positionV>
            <wp:extent cx="185166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51660" cy="34290"/>
                    </a:xfrm>
                    <a:prstGeom prst="rect">
                      <a:avLst/>
                    </a:prstGeom>
                    <a:noFill/>
                  </pic:spPr>
                </pic:pic>
              </a:graphicData>
            </a:graphic>
          </wp:anchor>
        </w:drawing>
      </w:r>
    </w:p>
    <w:p>
      <w:pPr>
        <w:spacing w:after="0" w:line="406" w:lineRule="exact"/>
        <w:rPr>
          <w:sz w:val="20"/>
          <w:szCs w:val="20"/>
          <w:color w:val="auto"/>
        </w:rPr>
      </w:pPr>
    </w:p>
    <w:p>
      <w:pPr>
        <w:sectPr>
          <w:pgSz w:w="11900" w:h="16838" w:orient="portrait"/>
          <w:cols w:equalWidth="0" w:num="3">
            <w:col w:w="7300" w:space="160"/>
            <w:col w:w="900" w:space="600"/>
            <w:col w:w="2200"/>
          </w:cols>
          <w:pgMar w:left="320" w:top="117" w:right="419" w:bottom="1440" w:gutter="0" w:footer="0" w:header="0"/>
          <w:type w:val="continuous"/>
        </w:sectPr>
      </w:pP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combinations: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7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 (repayment) on warehouse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of Class A common stock under Employee Stock Purchase Plan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6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1"/>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 recorded in 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744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its Significant Accounting Policies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trusted guidance about finance through its platform, which connects consumers and small and mid-sized businesses (SMBs) with providers of financial products.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The consolidated financial statements include the accounts of the Company and its wholly-owned subsidiaries. All intercompany transactions and balances have been eliminated in consolidation. Certain comparative amounts for prior fiscal years have been reclassified to conform to the financial statement presentation as of and for the year ended December 31, 2025.</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Segments—</w:t>
      </w:r>
      <w:r>
        <w:rPr>
          <w:rFonts w:ascii="Times New Roman" w:cs="Times New Roman" w:eastAsia="Times New Roman" w:hAnsi="Times New Roman"/>
          <w:sz w:val="18"/>
          <w:szCs w:val="18"/>
          <w:color w:val="auto"/>
        </w:rPr>
        <w:t>Operating segments are defined as components of an enterprise for which discrete financial information is available that is reviewed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regularly by the Chief Operating Decision Maker (CODM) in deciding how to allocate resources and in assessing performance. The Company’s CODM is its Chief Executive Officer, who regularly reviews consolidated net income (loss) as reported on the consolidated statements of operations, along with other financial information presented on a consolidated basis, for purposes of allocating resources and evaluating financial performance, including non-GAAP operating income (loss) and adjusted EBITDA which are key performance indicators to assess operational efficiency and profitability. As a result, the Company has concluded that it has one operating segment. The measure of segment assets is presented as total assets in the consolidated balance sheets. Significantly all of the Company’s revenue in 2025, 2024 and 2023 was from customers located in the United States. Significantly all of the Company’s long-lived assets as of December 31, 2025 and 2024 were located in the United States.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segment costs and expenses, along with a reconciliation to income (loss) from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599.4</w:t>
            </w:r>
          </w:p>
        </w:tc>
      </w:tr>
      <w:tr>
        <w:trPr>
          <w:trHeight w:val="256"/>
        </w:trPr>
        <w:tc>
          <w:tcPr>
            <w:tcW w:w="7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7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7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7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6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6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of capitalized internally developed software costs.</w:t>
      </w:r>
    </w:p>
    <w:p>
      <w:pPr>
        <w:spacing w:after="0" w:line="27" w:lineRule="exact"/>
        <w:rPr>
          <w:rFonts w:ascii="Times New Roman" w:cs="Times New Roman" w:eastAsia="Times New Roman" w:hAnsi="Times New Roman"/>
          <w:sz w:val="14"/>
          <w:szCs w:val="14"/>
          <w:color w:val="auto"/>
        </w:rPr>
      </w:pPr>
    </w:p>
    <w:p>
      <w:pPr>
        <w:ind w:left="340" w:hanging="332"/>
        <w:spacing w:after="0" w:line="283" w:lineRule="auto"/>
        <w:tabs>
          <w:tab w:leader="none" w:pos="33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cost of revenue and non-personnel-related operating expenses (each excluding depreciation and amortization), restructuring charges, and acquisition-related retention and expenses.</w:t>
      </w:r>
    </w:p>
    <w:p>
      <w:pPr>
        <w:spacing w:after="0" w:line="1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segment items included in consolidated net income (loss) are presented in the consolidated statements of operations, and comprised of other income (expense), net, and income tax provision (benefit).</w:t>
      </w:r>
    </w:p>
    <w:p>
      <w:pPr>
        <w:spacing w:after="0" w:line="5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consolidated financial statements and accompanying notes. Significant estimates and assumptions made by management include determination of stock-based compensation, capitalization of software development costs, valuation of goodwill and intangible assets, determination of associated useful lives of intangible assets and valuation of deferred tax assets. Management bases its estimates on historical experience and also on assumptions that it believes are reasonable.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Concentrations of Credit Risk—</w:t>
      </w:r>
      <w:r>
        <w:rPr>
          <w:rFonts w:ascii="Times New Roman" w:cs="Times New Roman" w:eastAsia="Times New Roman" w:hAnsi="Times New Roman"/>
          <w:sz w:val="18"/>
          <w:szCs w:val="18"/>
          <w:color w:val="auto"/>
        </w:rPr>
        <w:t>Financial instruments that potentially subject the Company to concentrations of credit risk consist primarily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and accounts receivable. While the Company deposits cash and cash equivalents with high credit quality financial institutions, including First Citizens Bank &amp; Trust Company (through its Silicon Valley Bank division), HSBC and JPMorgan Chase Bank, N.A., to lessen the Company’s exposure, such cash deposits may exceed federally insured limits at these financial institutions. To mitigate the risk associated with deposits exceeding federally insured limits, the Company manages exposure by utilizing deposit accounts which include sweep features to third-party money market funds, with total money market funds of $67.0 million and $36.8 million as of December 31, 2025 and 2024, respectively. Based on these facts, collectability of bank balances appears to be adequately assured.</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had two customers which accounted for 16% and 11% of total accounts receivable as of December 31, 2025, and two customers which accounted for 14% and 13% of total accounts receivable as of December 31, 2024. The Company had one customer which accounted for 26% of revenue in 2025, two customers which accounted for 22% and 11% of revenue in 2024, and two customers which accounted for 13% and 11% of revenue in 2023. The Company’s customers are considered to be financial services providers (e.g., banks, credit card issuers, lenders, insurers, investment brokers and other entities) that seek to reach and receive leads, matches and referrals to the Company’s substantial audience of consumers and SMBs in exchange for agreed-upon fees.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Transactions—</w:t>
      </w:r>
      <w:r>
        <w:rPr>
          <w:rFonts w:ascii="Times New Roman" w:cs="Times New Roman" w:eastAsia="Times New Roman" w:hAnsi="Times New Roman"/>
          <w:sz w:val="18"/>
          <w:szCs w:val="18"/>
          <w:color w:val="auto"/>
        </w:rPr>
        <w:t>The functional currency of the Company’s foreign subsidiaries is the respective local currency. All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accounts of the Company’s foreign subsidiaries are translated into U.S. dollars using the exchange rate on the balance sheet date. Equity transactions are translated using historical exchange rates. Revenues and expenses are translated at average rates prevailing throughout the period. Translation adjustments are included as a separate component in the consolidated statement of comprehensive income (loss), and in effect of exchange rate changes on cash and cash equivalents in the consolidated statement of cash flows. Transaction gains and losses, including intercompany transactions denominated in a currency other than the functional currency of the entity involved, are included in other gains (losses), net in the consolidated statement of operations and were immaterial for all periods presented.</w:t>
      </w:r>
    </w:p>
    <w:p>
      <w:pPr>
        <w:spacing w:after="0" w:line="12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Cash and cash equivalents include on demand deposits and money market funds with banks that have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maturities at the date of purchase of less than 90 days.</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The Company determines fair value based upon the exit price that would be received to sell an asset or paid to transfer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hierarchy gives the highest priority to Level 1 inputs.</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quoted prices included within Level 1, including quoted prices for similar assets or liabilities in active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that are not active; and inputs other than quoted prices that are observable or are derived principally from, or corroborated by, observable market data by correlation or other means.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 inputs.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receivable—net, and accounts payable and other accrued expenses are deemed to approximate fair value due to their short-term and highly liquid nature. The carrying values of the Company’s mortgage loans held for sale and certificate of deposit are deemed to approximate fair value due to their short-term nature.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Trade Accounts Receivable</w:t>
      </w:r>
      <w:r>
        <w:rPr>
          <w:rFonts w:ascii="Times New Roman" w:cs="Times New Roman" w:eastAsia="Times New Roman" w:hAnsi="Times New Roman"/>
          <w:sz w:val="18"/>
          <w:szCs w:val="18"/>
          <w:color w:val="auto"/>
        </w:rPr>
        <w:t>—Trade accounts receivable are recorded at the invoiced amount or amounts due from customers via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at the end of each month. Invoiced amounts do not bear interest. The Company generally does not require collateral or other security in support of accounts receivable. Accounts receivable are past due when they are outstanding longer than the contractual payment terms. The Company determines an allowance for credit losses by considering available information, including the length of time accounts receivable are past due, previous loss history, and reasonable and supportable expectations regarding the specific customer’s ability to pay its financial obligations. If the Company becomes aware of changes in circumstances that are indicative of a customer’s inability to meet its financial obligations, such as in the case of bankruptcy, deterioration in operating results or changes in financial position, estimates of the allowance for credit losses are further adjusted. The allowance for credit losses was $1.7 million and $0.5 million as of December 31, 2025 and 2024, respectively. The Company does not have any off-balance-sheet credit exposure related to its customers.</w:t>
      </w:r>
    </w:p>
    <w:p>
      <w:pPr>
        <w:spacing w:after="0" w:line="13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Property, Equipment, and Software, Net</w:t>
      </w:r>
      <w:r>
        <w:rPr>
          <w:rFonts w:ascii="Times New Roman" w:cs="Times New Roman" w:eastAsia="Times New Roman" w:hAnsi="Times New Roman"/>
          <w:sz w:val="18"/>
          <w:szCs w:val="18"/>
          <w:color w:val="auto"/>
        </w:rPr>
        <w:t>—Property, equipment, and software are stated at cost, less accumulated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is computed using the straight-line method over the estimated useful lives of the respective assets, which are generally three years for computers and equipment, three years for software,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 of operations.</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Capitalized Software Development Costs</w:t>
      </w:r>
      <w:r>
        <w:rPr>
          <w:rFonts w:ascii="Times New Roman" w:cs="Times New Roman" w:eastAsia="Times New Roman" w:hAnsi="Times New Roman"/>
          <w:sz w:val="18"/>
          <w:szCs w:val="18"/>
          <w:color w:val="auto"/>
        </w:rPr>
        <w:t>—The costs incurred in the preliminary stages of website and software development are expensed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Once an application has reached the development stage, internal and external costs, if direct and incremental and deemed by management to be significant, are capitalized in property and equipment and amortized on a straight-line basis over their estimated useful lives. Maintenance, training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useful lives.</w:t>
      </w:r>
    </w:p>
    <w:p>
      <w:pPr>
        <w:spacing w:after="0" w:line="1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Capitalized development activities placed in service are amortized over the expected useful lives of those releases, currently estimated at one to five years. The estimated useful lives of website and software development activities are reviewed frequently and adjusted as appropriate to reflect upcoming development activities that may include significant upgrades and/or enhancements to the existing functionality.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is included within cost of revenue in the consolidated statement of operations.</w:t>
      </w:r>
    </w:p>
    <w:p>
      <w:pPr>
        <w:spacing w:after="0" w:line="1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—The Company recognizes identifiable assets acquired and liabilities assumed at their acquisition date fair value. Goodwill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acquisition date is measured as the excess of consideration transferred over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the Company identifies adjustments to the preliminary purchase price allocation. Upon the conclusion of the measurement period or final determination of the values of assets acquired or liabilities assumed, whichever comes first, any subsequent adjustments are recorded to the consolidated statement of operations. As of December 31, 2025, the Company has not recorded material measurement period adjustments in connection with its business combinations.</w:t>
      </w:r>
    </w:p>
    <w:p>
      <w:pPr>
        <w:spacing w:after="0" w:line="13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—The Company evaluates goodwill for impairment annually during the fourth quarter, or more frequently when an event occurs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change that indicate the carrying value may not be recoverable. The Company may elect to utilize a qualitative assessment to evaluate whether it is more likely than not that the fair value of a reporting unit is less than its carrying value and if so, the quantitative test is performed. Under the qualitative assessment, factors that are considered include industry and market considerations, overall financial performance and other relevant events and factors affecting the reporting unit. Under the quantitative test, the Company first compares the carrying value of each reporting unit to its estimated fair value and, if the fair value is determined to be less than the carrying value, an impairment loss would be recognized for the difference.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Intangible Assets</w:t>
      </w:r>
      <w:r>
        <w:rPr>
          <w:rFonts w:ascii="Times New Roman" w:cs="Times New Roman" w:eastAsia="Times New Roman" w:hAnsi="Times New Roman"/>
          <w:sz w:val="18"/>
          <w:szCs w:val="18"/>
          <w:color w:val="auto"/>
        </w:rPr>
        <w:t>—Intangible assets include acquired intangible assets identified through business combinations, which are carried at the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recorded upon acquisition less accumulated amortization, and purchased intangible assets, which are carried at cost less accumulated amortization. Intangible assets are amortized on a straight-line basis over their estimated useful lives. Amortization costs for developed technology is included in cost of revenue and amortization for customer relationships, trade names and user base are included in sales and marketing within the consolidated statement of operations. Intangible assets are reviewed for impairment whenever events or changes in circumstances indicate that the carrying amount of the asset may not be recoverable.</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—The Company reviews long-lived assets, including property and equipment, capitalized software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intangible assets and right-of-use (ROU) assets for impairment whenever events or changes in circumstances indicate that the carrying amount of an asset or asset group may not be recoverable. Recoverability of assets or asset groups to be held and used is measured first by a comparison of the carrying amount of an asset or asset group to future undiscounted net cash flows expected to be generated by the asset or asset group. If such assets or asset group are considered to be impaired, an impairment loss would be recognized based on the excess of the carrying amount of the asset above the fair value of the asset or asset group.</w:t>
      </w:r>
    </w:p>
    <w:p>
      <w:pPr>
        <w:spacing w:after="0" w:line="12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generates substantially all its revenue through fees paid by its financial services partners in the form of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per action, revenue per click, revenue per lead and revenue per funded loan arrangements. For these revenue arrangements, in which a partner pays only when a consumer or SMB satisfies the criteria set forth within the arrangement, revenue is recognized generally when the Company matches the consumer or SMB with the financial services partner. For some of the Company’s arrangements, the transaction price is considered variable and an estimate of the transaction price is recorded when the match occurs.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revenue recognition guidance, revenue is recognized when performance obligations under the terms of a contract with a financial services partner are satisfied and promised goods and services have transferred to the partner, in an amount that reflects the consideration the Company expects to be entitled to in exchange for those goods or services. Services are generally transferred to the financial services partner at a point in time, and the performance obligation is a series of distinct actions, leads or clicks.</w:t>
      </w:r>
    </w:p>
    <w:p>
      <w:pPr>
        <w:spacing w:after="0" w:line="12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For revenue generated from revenue per action or revenue per funded loan arrangements in which fees are earned from financial services partners for approved actions, such as when credit cards are issued to consumers or SMBs or when loans to consumers or SMBs are funded, the Company’s contractual right to fees is not contemporaneous with the satisfaction of the performance obligation to match the consumer or SMB with the financial services partner. As a result, the transaction price is considered variable and an estimate of the constrained transaction price is recorded as revenue when the match occurs, subject to a constraint. Constrained revenue is recognized to the extent that it is probable that a significant reversal in the amount of cumulative revenue recognized will not occur. The Company records a contract asset, which is included within prepaid expenses and other current assets in the consolidated balance sheet, at the end of each reporting period related to the estimated variable consideration on fees for which the Company has satisfied the related performance obligation but are still pending the financial product approval before the Company has a contractual right to payment. Management applies judgment and considers various factors in estimating the constrained revenue, including the Company’s historical approval rates and historical time between when a consumer or SMB request for a financial product is delivered to a financial services partner, and when the consumer or SMB meets the achievement or attainment requirements of the financial services partner. The time between satisfaction of the Company’s performance obligation and when the Company’s right to consideration becomes unconditional is generally less than 90 days, and this short duration between satisfaction of the performance obligation and approval mitigates estimation uncertainty. The Company records a deferred revenue liability, which is included within accrued expenses and other current liabilities in the consolidated balance sheet, for fees received related to unsatisfied performance obligations at the end of each reporting period, with the performance obligations expected to be satisfied in the following reporting period.</w:t>
      </w:r>
    </w:p>
    <w:p>
      <w:pPr>
        <w:spacing w:after="0" w:line="14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revenue generated from revenue per lead or revenue per click in which fees are earned from customers when a consumer or SMB clicks on a tagged link to the customer’s website or lead is delivered to the customer, the Company’s contractual right to fees is contemporaneous with the satisfaction of the performance obligation to match the consumer or SMB with the customer. The Company’s services are generally transferred to the customer at a point in time, when the performance obligation is met, based on reliable indicators of completion.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payment terms vary by customer and verticals. The term between invoicing and when payment is due is generally 30 days or less.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Cost of Revenue</w:t>
      </w:r>
      <w:r>
        <w:rPr>
          <w:rFonts w:ascii="Times New Roman" w:cs="Times New Roman" w:eastAsia="Times New Roman" w:hAnsi="Times New Roman"/>
          <w:sz w:val="18"/>
          <w:szCs w:val="18"/>
          <w:color w:val="auto"/>
        </w:rPr>
        <w:t>—Cost of revenue consists primarily of amortization expense associated with capitalized software development costs and developed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credit scoring fees and account linking fees; and third-party data center costs.</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—Research and development expenses primarily consist of personnel related costs, technology and facility-related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and contractor expense for our engineering, product management, data and other personnel engaged in maintaining and enhancing the functionality of our platform. Research and development costs are expensed as incurred.</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color w:val="auto"/>
        </w:rPr>
        <w:t>—Sales and marketing expenses include advertising and promotion costs, costs related to brand campaign fees,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operations team and editorial personnel and related costs, including stock-based compensation.</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sales and marketing expenses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and other marketing</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6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1"/>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expense includes performance and brand marketing, as well as certain external organic and other marketing costs, and is expensed as incurred. Advertising expense totaled $486.4 million, $370.3 million, and $294.7 million for 2025, 2024 and 2023,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—The Company leases real estate facilities and general office equipment under operating leases expiring at various dates through 2030.</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ROU assets and lease liabilities are recognized at commencement date based on the present value of remaining lease payments over the lease term, which may include options to extend or terminate the lease when it is reasonably certain the Company will exercise such options. At inception of the lease, the Company is not reasonably certain that any available lease extensions or renewal terms will be exercised. For this purpose, the Company considered lease term and only payments that are fixed and determinable at the time of commencement. As most of the Company’s leases do not provide an implicit rate, the Company used the incremental borrowing rate based on the information available at commencement date in determining the present value of lease payments. When determining the incremental borrowing rates, the Company considered information including, but not limited to, the lease term, the Company’s credit rating and interest rates of similar debt instruments with comparable credit ratings. The Company’s lease agreements may contain variable costs such as common area maintenance, insurance, real estate taxes or other costs. Variable lease costs are expensed as incurred in the consolidated statement of operations.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Nonlease components that are not fixed are expensed as incurred as variable lease payments. The Company’s lease agreements generally do not contain any residual guarantees or restrictive covenants.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other assets, accrued expenses and other current liabilities, and other liabilities—noncurrent in the consolidated balance sheets.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has granted stock-based awards, including restricted stock units (RSUs), stock options and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granted under our employee stock purchase plan (ESPP), to employees, directors and non-employees. The Company measures compensation expense for stock-based awards based on the estimated fair value of the awards on the date of grant.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The fair value of RSUs is estimated based on the fair value of our Class A common stock on the grant date.</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The fair value of stock options on the date of grant is estimated using the Black-Scholes-Merton option-pricing model. The Black-Scholes-Merton option-pricing model considers several variables and assumptions in estimating the grant date fair value of stock-based awards. These assumptions include:</w:t>
      </w:r>
    </w:p>
    <w:p>
      <w:pPr>
        <w:spacing w:after="0" w:line="119" w:lineRule="exact"/>
        <w:rPr>
          <w:sz w:val="20"/>
          <w:szCs w:val="20"/>
          <w:color w:val="auto"/>
        </w:rPr>
      </w:pPr>
    </w:p>
    <w:p>
      <w:pPr>
        <w:ind w:left="660" w:hanging="328"/>
        <w:spacing w:after="0" w:line="284"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Class A Common Stock</w:t>
      </w:r>
      <w:r>
        <w:rPr>
          <w:rFonts w:ascii="Times New Roman" w:cs="Times New Roman" w:eastAsia="Times New Roman" w:hAnsi="Times New Roman"/>
          <w:sz w:val="18"/>
          <w:szCs w:val="18"/>
          <w:color w:val="auto"/>
        </w:rPr>
        <w:t>—The fair value of the Company’s Class A common stock is determined on the grant date using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Company’s Class A common stock.</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and is estimated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simplified method described in Staff Accounting Bulletin Topic 14, as amended, as the Company does not have sufficient historical experience for determining the expected term of the awards granted.</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—Expected volatility is a measure of the amount by which the stock price is expected to fluctuate. Since the Company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trading history of its Class A common stock, the Company estimates the expected volatility by taking the average historical volatility of a group of comparable publicly-traded companies over a period equal to the expected term of the awards.</w:t>
      </w:r>
    </w:p>
    <w:p>
      <w:pPr>
        <w:spacing w:after="0" w:line="11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on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expected term of the stock option award.</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utilizes a dividend yield of zero, as the Company does not currently issue dividends and does not expect to do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future.</w:t>
      </w:r>
    </w:p>
    <w:p>
      <w:pPr>
        <w:spacing w:after="0" w:line="10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ESPP: </w:t>
      </w:r>
      <w:r>
        <w:rPr>
          <w:rFonts w:ascii="Times New Roman" w:cs="Times New Roman" w:eastAsia="Times New Roman" w:hAnsi="Times New Roman"/>
          <w:sz w:val="18"/>
          <w:szCs w:val="18"/>
          <w:color w:val="auto"/>
        </w:rPr>
        <w:t>The fair value of purchase rights granted under the Company’s ESPP is estimated using the component measurement approach with valuations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components based on the Company’s stock price on the grant date and/or the Black-Scholes-Merton option-pricing model, as appropriate for the applicable components.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stock-based awards with only a service condition and that are expected to vest is recognized as compensation expense on a straight-line basis over the requisite service period. The fair value of stock-based awards with performance-conditions is recognized as compensation expense over the requisite service period using the accelerated attribution method based on an assessment of the probability of achieving the requisite performance metrics. The requisite service period of awards is generally the same as the vesting period of the respective awards. The Company recognizes forfeitures as they occur for equity awards with a service condition.</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Company accounts for income taxes under an asset and liability approach. Deferred income taxes reflect the impact of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assets and liabilities recognized for financial reporting purposes and amounts recognized for income tax reporting purposes measured by applying currently enacted tax laws. A valuation allowance is provided when necessary to reduce deferred tax assets to an amount that is more likely than not to be realized.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accounting standards on the basis of a two-step process whereby (1) a determination is made as to whether it is more likely than not that the tax positions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The Company’s policy is to include interest and penalties within its provision for income taxes.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Net Income (Loss) per Basic and Diluted Share</w:t>
      </w:r>
      <w:r>
        <w:rPr>
          <w:rFonts w:ascii="Times New Roman" w:cs="Times New Roman" w:eastAsia="Times New Roman" w:hAnsi="Times New Roman"/>
          <w:sz w:val="18"/>
          <w:szCs w:val="18"/>
          <w:color w:val="auto"/>
        </w:rPr>
        <w:t>—The Company computes earnings per share (EPS) in conformity with the two-class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The Company considers early exercised stock options to be participating securities. There were no early exercised stock options in 2025, and the impact of early exercised stock options on basic and diluted EPS was immaterial for 2024 and 2023.</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EPS is computed by dividing net income (loss) available to common stockholders by the weighted average number of common stock outstanding during the period. Diluted EPS is computed by dividing net income (loss) attributable to common stockholders by the number of diluted shares outstanding. Diluted shares equal the total of the basic shares outstanding and all potentially issuable shares, other than antidilutive shares, if any, weighted for the average days outstanding for the period. The dilutive effect of outstanding awards and convertible securities is reflected in diluted EPS by application of the treasury stock method.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and Class B common stock are identical, except with respect to voting and conversion. See Note 10–Stockholders’ Equity for further discussion. As the liquidation and dividend rights are identical for Class A and Class B common stock, the undistributed earnings are allocated on a proportional basis and the resulting net income (loss) attributable to common stockholders is the same for Class A and Class B common stock on an individual or combined basis.</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Comprehensive Income (Loss)</w:t>
      </w:r>
      <w:r>
        <w:rPr>
          <w:rFonts w:ascii="Times New Roman" w:cs="Times New Roman" w:eastAsia="Times New Roman" w:hAnsi="Times New Roman"/>
          <w:sz w:val="18"/>
          <w:szCs w:val="18"/>
          <w:color w:val="auto"/>
        </w:rPr>
        <w:t>—Comprehensive income (loss) is defined as a change in equity resulting from transactions from non-owner sources.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income (loss) is comprised of all components of net income (loss) and all components of other comprehensive income (loss) within stockholders’ equity. Other comprehensive income (loss) includes adjustments for foreign currency translation.</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JOBS Act Accounting Election</w:t>
      </w:r>
      <w:r>
        <w:rPr>
          <w:rFonts w:ascii="Times New Roman" w:cs="Times New Roman" w:eastAsia="Times New Roman" w:hAnsi="Times New Roman"/>
          <w:sz w:val="18"/>
          <w:szCs w:val="18"/>
          <w:color w:val="auto"/>
        </w:rPr>
        <w:t>—The Company qualifies as an “emerging growth company” (EGC) as defined in the JOBS Act until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 as such, the Company may elect to delay adopting new or revised accounting standards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As a result, the Company’s financial condition and results of operations within its consolidated financial statements may not be comparable to those of other companies that have adopted new or revised accounting standards at an earlier date.</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(Topic 740): Improvements to Income Tax Disclosures </w:t>
      </w:r>
      <w:r>
        <w:rPr>
          <w:rFonts w:ascii="Times New Roman" w:cs="Times New Roman" w:eastAsia="Times New Roman" w:hAnsi="Times New Roman"/>
          <w:sz w:val="18"/>
          <w:szCs w:val="18"/>
          <w:color w:val="auto"/>
        </w:rPr>
        <w:t>(ASU 2023-09), which addresses investor requests for more transparency about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through improvements to income tax disclosures primarily related to the income tax rate reconciliation and income taxes paid information. The guidance in ASU 2023-09 is effective on an annual basis and will be required to be applied for the year ending December 31, 2026 for EGCs under the JOBS Act accounting election. Early adoption is permitted for annual financial statements that have not yet been issued or made available for issuance. The guidance should be applied on a prospective basis, but retrospective application is permitted.</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2024-09), which requires additional disclosure of certain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notes to the financial statements. The guidance in ASU 2024-03 is effective for annual reporting periods beginning with the year ending December 31, 2027, and for interim reporting periods beginning in 2028. Early adoption is permitted and the guidance may be applied on a prospective or retrospective basis.</w:t>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the disclosure focus of both ASU 2023-09 and ASU 2024-03, the applications of these new standards will not have an effect on the Company’s financial position and results of operations in its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related to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accounts receivable and current contract assets that arise from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practical expedient allows an entity to assume that current conditions as of the balance sheet date do not change for the remaining life of the asset. The guidance in ASU 2025-05 is effective on an annual and interim basis, and will be required to be applied for the year ending December 31, 2026 for public business entities, with early adoption permitted in an interim or annual reporting period in which financial statements have not yet been issued or made available for issuance. The guidance should be applied on a prospective basis.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including eliminating consideration of software project development stages and providing enhanced guidance on how to evaluate whether the probable-to-complete recognition threshold has been met. The guidance in ASU 2025-06 is effective on an annual and interim basis, and will be required to be applied for the year ending December 31, 2028 for public business entities, with early adoption permitted as of the beginning of an annual reporting period. The guidance may be applied on a prospective, retrospective, or modified prospective basis.</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evaluating the impact of the adoptions of ASU 2025-05 and ASU 2025-06 on the Company’s consolidated financial statements.</w:t>
      </w:r>
    </w:p>
    <w:p>
      <w:pPr>
        <w:spacing w:after="0" w:line="104"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6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2024, the Company recognized $4.1 million of revenue that was deferred as of December 31, 2023, all of which was recognized during the three months ended March 31, 2024. There was no deferred revenue balance as of December 31, 2025, and revenue recognized during 2025 and 2023 which was deferred as of the prior year end was immaterial.</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contract assets recorded within prepaid expenses and other current assets on the consolidated balance sheet related to estimated variable consideration were $3.5 million and $6.8 million as of December 31, 2025 and 2024, respectively. Revenue recognized during the year from performance obligations satisfied, or partially satisfied, in the previous year was immaterial for 2025, 2024 and 2023.</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Insurance revenue is primarily generated through revenue per click arrangements. Credit cards revenue is primarily generated through revenue per action arrangements. SMB products revenue is primarily generated through revenue per funded loan, revenue per action and revenue per lead arrangements. Loans revenue is primarily generated through revenue per funded loan and revenue per lead arrangements. Emerging verticals revenue is primarily generated through revenue per click, revenue per action and revenue per lead arrangements.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that are measured at fair value on a recurring basis, by level, within the fair value hierarchy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2024, the Company made a strategic investment of $8.1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 equity security without a readily determinable fair value is considered impaired when the fair value of the Company’s interest is less than the carrying value. During the three months ended December 31, 2024, the Company became aware of certain developments and circumstances that indicated that there was a decline in the fair value of this investment. As a result, the Company performed an assessment of the equity investment, including a review of the financial condition, operating results and liquidity prospects of the equity issuer. Based on this assessment, the Company concluded that the equity investment was fully impaired as of December 31, 2024, and recorded an impairment loss of $8.1 million during 2024 which is included in other gains (losses), net on both the Company’s consolidated statements of operations and of cash flows.</w:t>
      </w:r>
    </w:p>
    <w:p>
      <w:pPr>
        <w:spacing w:after="0" w:line="130"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Consolidated Balance Sheet Components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73" w:name="page74"/>
    <w:bookmarkEnd w:id="73"/>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189"/>
        </w:trPr>
        <w:tc>
          <w:tcPr>
            <w:tcW w:w="8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89"/>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89"/>
        </w:trPr>
        <w:tc>
          <w:tcPr>
            <w:tcW w:w="8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89"/>
        </w:trPr>
        <w:tc>
          <w:tcPr>
            <w:tcW w:w="8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37"/>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189"/>
        </w:trPr>
        <w:tc>
          <w:tcPr>
            <w:tcW w:w="8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189"/>
        </w:trPr>
        <w:tc>
          <w:tcPr>
            <w:tcW w:w="8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187"/>
        </w:trPr>
        <w:tc>
          <w:tcPr>
            <w:tcW w:w="8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capitalized $20.4 million, $24.3 million and $34.0 million of software development costs, and recorded amortization expense of $31.2 million, $32.8 million and $28.9 million, during 2025, 2024 and 2023, respectively. No losses on disposal related to software development costs were recorded in 2025, 2024 or 2023.</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exclusive of amortization of capitalized software development costs and intangible assets, was $1.6 million, $2.2 million and $2.3 million in 2025, 2024 and 2023, respectively.</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2025, the Company made a strategic investment of $2.0 million in equity interests of a limited liability company. These equity interests are accounted for under the equity method of accounting. In applying the equity method of accounting, investments are initially recorded at cost, and subsequently adjusted based on the Company’s proportionate share of the investee’s net income or loss, based on the most recent available financial information from the investee, net of any contributions and distributions received. Equity method investments are periodically reviewed for impairment, and would be considered impaired when the fair value of the Company’s interest is less than the carrying value, with an impairment charge recorded in earnings if such decline in value is determined to be other than temporary. Equity method investments are included in other assets on the Company’s consolidated balance sheet. The carrying value of the Company’s equity method investment was $2.0 million as of December 31, 2025, and there were no related changes in carrying amount or impairment during 2025.</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line of credit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Other liabilities—noncurrent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 liability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8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liabilities—noncurrent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068"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068" w:gutter="0" w:footer="0" w:header="0"/>
          <w:type w:val="continuous"/>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Business Combinations in 2025</w:t>
      </w:r>
      <w:r>
        <w:rPr>
          <w:rFonts w:ascii="Times New Roman" w:cs="Times New Roman" w:eastAsia="Times New Roman" w:hAnsi="Times New Roman"/>
          <w:sz w:val="18"/>
          <w:szCs w:val="18"/>
          <w:color w:val="auto"/>
        </w:rPr>
        <w:t>—On November 3, 2025, the Company acquired a privately-held financial services company for a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$8.1 million in cash. The fair values of assets acquired and liabilities assumed totaled $0.8 million and $0.4 million, respectively, and the Company recorded $7.7 million of goodwill. Concurrently with the closing of this acquisition, the Company’s Board of Directors granted RSUs with an aggregate grant-date fair value of $5.0 million to the co-founders of the acquired company who were offered employment with the Company. The fair value of these RSUs are excluded from the purchase price of the acquisition and accounted for separately from the business combination. These RSUs are subject to the terms and conditions of the grant agreements covering such RSUs, and will generally vest over three years subject to a one-year cliff and quarterly vesting thereafter, with vesting generally subject to the employees’ continued employment with the Company. The value of these RSUs are generally recognized as stock-based compensation ratably over the respective vesting terms of the RSUs.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13, 2025, the Company acquired a privately-held SEC-registered investment adviser for a purchase consideration of $5.0 million in cash. The fair value of assets acquired totaled $2.0 million and was comprised of intangible assets for customer relationships with a three-year estimated useful life, and the Company recorded $3.0 million of goodwill.</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acquisitions have been accounted for as business combinations. The goodwill recorded from these acquisitions is primarily attributable to synergies from combining the operations of the Company and the acquirees, as well as the value ascribed to the knowledge and experience of the acquirees’ co-founders and employees, and is tax deductible. The contributions from these acquisitions following their respective closing dates through December 31, 2025 were not material to the Company’s revenue and operating income for 2025. Pro forma results of operations have not been provided to reflect these acquisitions as such results would not have been materially different from the Company’s reported results.</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Next Door Lending LLC</w:t>
      </w:r>
      <w:r>
        <w:rPr>
          <w:rFonts w:ascii="Times New Roman" w:cs="Times New Roman" w:eastAsia="Times New Roman" w:hAnsi="Times New Roman"/>
          <w:sz w:val="18"/>
          <w:szCs w:val="18"/>
          <w:color w:val="auto"/>
        </w:rPr>
        <w:t>—On October 1, 2024, the Company acquired all outstanding equity interests of Next Door Lending LLC (NDL),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 brokerage, for a purchase consideration of $1.0 million in cash. The acquisition of NDL is intended to allow the Company to provide mortgage shoppers with more hands-on guidance.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fair value of assets acquired totaled $7.2 million, and was primarily comprised of $0.7 million of cash and cash equivalents, $4.7 million of mortgage loans held for sale, $1.1 million of contract assets, and $0.4 million for an ROU asset. The fair value of liabilities assumed totaled $7.1 million, and was primarily comprised of $2.1 million of accounts payable and accrued expenses, $4.6 million of short-term borrowings under a warehouse line of credit, and $0.4 million of lease liabilities. The Company recorded $0.9 million of goodwill for this business acquisition.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under the purchase agreement, certain employees of NDL could earn up to an aggregate of $3.5 million of performance-based cash earnout awards, with the value of such earnout awards to be recognized as compensation expense following the close of the acquisition through 2028, generally subject to the employees’ continued employment with the Company. The value of these cash earnout awards are excluded from the purchase consideration and accounted for separately from the business combination.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NDL’s contribution following the closing of the acquisition through December 31, 2024 was not material to the Company’s revenue and operating income for 2024. Pro forma results of operations have not been provided to reflect the NDL acquisition as such results would not have been materially different from the Company’s reported results.</w:t>
      </w:r>
    </w:p>
    <w:p>
      <w:pPr>
        <w:spacing w:after="0" w:line="1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of goodwill, net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charges have been recorded for goodwill in 2025, 2024 or 2023.</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75" w:name="page76"/>
    <w:bookmarkEnd w:id="75"/>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with finite lives related to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 w:type="dxa"/>
            <w:vAlign w:val="bottom"/>
          </w:tcPr>
          <w:p>
            <w:pPr>
              <w:spacing w:after="0"/>
              <w:rPr>
                <w:sz w:val="17"/>
                <w:szCs w:val="17"/>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7"/>
                <w:szCs w:val="17"/>
                <w:color w:val="auto"/>
              </w:rPr>
            </w:pPr>
          </w:p>
        </w:tc>
        <w:tc>
          <w:tcPr>
            <w:tcW w:w="12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5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 w:type="dxa"/>
            <w:vAlign w:val="bottom"/>
          </w:tcPr>
          <w:p>
            <w:pPr>
              <w:spacing w:after="0"/>
              <w:rPr>
                <w:sz w:val="17"/>
                <w:szCs w:val="17"/>
                <w:color w:val="auto"/>
              </w:rPr>
            </w:pPr>
          </w:p>
        </w:tc>
        <w:tc>
          <w:tcPr>
            <w:tcW w:w="13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14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6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related to finite-lived intangible assets was $13.9 million, $13.7 million and $17.3 million in 2025, 2024 and 2023,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amortization expense as of December 31, 2025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8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9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9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charges have been recorded for intangible assets in 2025, 2024 or 2023.</w:t>
      </w:r>
    </w:p>
    <w:p>
      <w:pPr>
        <w:spacing w:after="0" w:line="167"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—NerdWallet, Inc. and three of its wholly-owned subsidiaries maintain a credit agreement, entered into on September 26,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over time has been amended (as amended,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the Company and certain of its domestic subsidiaries for general corporate purposes, including acquisitions. The Credit Agreement includes a letter of credit sub-facility in the aggregate amount of $10.0 million and a swingline sub-facility in the aggregate amount of $10.0 million. The Credit Facility is secured by substantially all of the Company’s assets. The Company and each of its material domestic subsidiaries is a guarantor of all of the obligations under the Credit Facility. The Credit Facility matures on September 26, 2028.</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charged a commitment fee of between 0.25% and 0.35% of the total facility commitments, depending on the Company’s total net leverage ratio.</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at a floating rate and may be maintained as alternate base rate loans (tied to the prime rate, the federal funds rate plus 0.50%, the overnight bank funding rate plus 0.50%, or the adjusted term secured overnight financing rate (SOFR) for a one-month period plus 1.00%) or as term benchmark loans tied to adjusted term SOFR plus 0.10%, in each case plus a margin of 2.25% to 2.75% depending on the Company’s total net leverage ratio.</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76" w:name="page77"/>
    <w:bookmarkEnd w:id="76"/>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outstanding balance under the Credit Agreement at December 31, 2025 or 2024. The available amount to borrow under the Credit Facility was $124.5 million and $123.9 million at December 31, 2025 and 2024, respectively, which was equal to the available amount under the agreement of $125.0 million net of letters of credit of $0.5 million and $1.1 million, respectively.</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requires the Company to comply with maximum total net leverage and minimum fixed charge coverage ratios. In addition, the Credit Agreement contains other standard affirmative and negative covenants such as those which (subject to certain thresholds) limit the ability of the Company and its subsidiaries to, among other things, incur debt, incur liens, engage in mergers, consolidations, liquidations or acquisitions, enter into new lines of business not related to the Company’s current lines of business, make certain investments, make distributions on or repurchase its equity securities, engage in transactions with affiliates, or enter into certain hedging obligations. Events of default under the Credit Agreement include, among other things, payment defaults, breaches of representations, warranties or covenants, defaults under material indebtedness, certain events of bankruptcy or insolvency, judgment defaults, certain defaults or events relating to employee benefit plans or a change in control of the Company. The events of default would permit the lenders to terminate commitments and accelerate the maturity of borrowings under the Credit Facility if not cured within applicable grace periods. The Company was in compliance with all covenants as of December 31, 2025 and 2024, respectively.</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Warehouse Line of Credit</w:t>
      </w:r>
      <w:r>
        <w:rPr>
          <w:rFonts w:ascii="Times New Roman" w:cs="Times New Roman" w:eastAsia="Times New Roman" w:hAnsi="Times New Roman"/>
          <w:sz w:val="18"/>
          <w:szCs w:val="18"/>
          <w:color w:val="auto"/>
        </w:rPr>
        <w:t>—NDL maintains a $15.0 million warehouse line of credit, which may be increased to $18.75 million for up to 90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certain requirements, to provide NDL short-term funding for mortgage loans originated for sale. Borrowings under the warehouse line of credit bear interest at the interest rate of the underlying mortgage loans held for sale, subject to a 5.25% minimum rate, and are secured by the underlying promissory notes of the mortgage loans held for sale, as well as NDL’s other assets. The warehouse line of credit matures on February 1, 2027. NDL had $6.9 million and $2.5 million outstanding under the warehouse line of credit with a weighted-average interest rate of 6.27% and 6.77% as of December 31, 2025 and 2024, respectively, which is included in accrued expenses and other current liabilities on the consolidated balance sheet. The warehouse line of credit requires NDL to comply with minimum tangible net worth, liquidity and insurance requirements. NDL was in compliance with all covenants as of December 31, 2025 and 2024, respectively.</w:t>
      </w:r>
    </w:p>
    <w:p>
      <w:pPr>
        <w:spacing w:after="0" w:line="131"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commitments under leases, and an outstanding warehouse line of credit. See Note 7–Debt and Note 9–Leases for further discussion.</w:t>
      </w:r>
    </w:p>
    <w:p>
      <w:pPr>
        <w:spacing w:after="0" w:line="10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December 31, 2025 or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operating lease costs are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gridSpan w:val="3"/>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gridSpan w:val="2"/>
            <w:shd w:val="clear" w:color="auto" w:fill="CCEEFF"/>
          </w:tcPr>
          <w:p>
            <w:pPr>
              <w:jc w:val="center"/>
              <w:ind w:left="673"/>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540" w:type="dxa"/>
            <w:vAlign w:val="bottom"/>
          </w:tcPr>
          <w:p>
            <w:pPr>
              <w:spacing w:after="0"/>
              <w:rPr>
                <w:sz w:val="21"/>
                <w:szCs w:val="21"/>
                <w:color w:val="auto"/>
              </w:rPr>
            </w:pPr>
          </w:p>
        </w:tc>
        <w:tc>
          <w:tcPr>
            <w:tcW w:w="7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3"/>
          </w:tcPr>
          <w:p>
            <w:pPr>
              <w:jc w:val="center"/>
              <w:ind w:left="633"/>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3"/>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center"/>
              <w:ind w:left="673"/>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Lease term and discount rate are as follows: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10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2025, the Company commenced an amendment of an operating lease for office space in Arizona, and recorded a $4.0 million ROU asset and $4.0 million of corresponding operating lease liabilities. The amendment expires in 2030. The amendment includes options for extension or early termination of the lease, neither of which options are certain to be exercised by the Company and, accordingly, are excluded from the calculations of ROU assets and lease liabilities recognized.</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Company entered into a sublease agreement for a portion of the Company’s office space in San Francisco. The sublease expired concurrently with the corresponding head lease, but did not relieve the Company of its obligations under the head lease. The Company determined that the sublease arrangement was an operating lease at inception, and recognized sublease income on a straight-line basis over the sublease term as a reduction of rent expense. As a result of the sublease, the Company evaluated the associated head lease ROU asset and sublease-related furniture and fixtures and leasehold improvements for impairment, as the change in circumstances indicated that the carrying amount of such assets may not be recoverable. The Company estimated the fair value of these assets as of the effective date of the sublease agreement using an income approach based on expected future cash flows from the subleased property. The Company recognized impairment charges of $1.6 million related to the sublease which are included in general and administrative expense on the consolidated statements of operations, including a $1.4 million impairment of ROU asset and $0.2 million of loss on disposal of sublease-related furniture and fixtures and leasehold improvements, in 2023.</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ROU assets were $7.1 million and $5.3 million as of December 31, 2025 and 2024,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maturities of lease liabilities as of December 31, 2025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2.4</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7"/>
              </w:rPr>
              <w:t>2.3</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2.3</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7"/>
              </w:rPr>
              <w:t>1.5</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0.5</w:t>
            </w:r>
          </w:p>
        </w:tc>
      </w:tr>
      <w:tr>
        <w:trPr>
          <w:trHeight w:val="237"/>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7"/>
              </w:rPr>
              <w:t>9.0</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7"/>
              </w:rPr>
              <w:t>8.0</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 noncurrent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7"/>
              </w:rPr>
              <w:t>6.1</w:t>
            </w:r>
          </w:p>
        </w:tc>
      </w:tr>
      <w:tr>
        <w:trPr>
          <w:trHeight w:val="21"/>
        </w:trPr>
        <w:tc>
          <w:tcPr>
            <w:tcW w:w="9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—Under the Company’s amended and restated certificate of incorporation, the Company is authorized to issue 5.0 million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with a par value of $0.0001 per share. The Company’s Board of Directors may fix the rights, preferences, privileges and restrictions of the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There were no shares of preferred stock outstanding as of December 31, 2025 or 2024.</w:t>
      </w:r>
    </w:p>
    <w:p>
      <w:pPr>
        <w:spacing w:after="0" w:line="12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—Under the Company’s amended and restated certificate of incorporation, the Company is authorized to issue 296.7 million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a par value of $0.0001 per share, including 265.0 million shares of Class A common stock and 31.7 million shares of Class B common stock.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all classes of common stock are entitled to dividends when, as and if, declared by the Company’s Board of Directors, subject to the rights of the holders of all classes of stock outstanding having priority rights to dividends. The holder of each share of Class A common stock is entitled to one vote, while the holder of each share of Class B common stock is entitled to 10 votes.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Shares of Class B common stock are convertible, at any time at the option of the holder, into an equal number of shares of Class A common stock and automatically convertible upon Transfer, which is defined as any sale, assignment, transfer, conveyance, hypothecation or other transfer or disposition of such share or any legal or beneficial interest in such share, whether or not for value and whether voluntary or involuntary or by operation of law.</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there were 39.6 million and 42.4 million shares of Class A common stock issued and outstanding,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B common stock issued and outstanding were 31.7 million as of both December 31, 2025 and 2024.</w:t>
      </w:r>
    </w:p>
    <w:p>
      <w:pPr>
        <w:spacing w:after="0" w:line="1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Share Repurchase Program</w:t>
      </w:r>
      <w:r>
        <w:rPr>
          <w:rFonts w:ascii="Times New Roman" w:cs="Times New Roman" w:eastAsia="Times New Roman" w:hAnsi="Times New Roman"/>
          <w:sz w:val="18"/>
          <w:szCs w:val="18"/>
          <w:color w:val="auto"/>
        </w:rPr>
        <w:t>—The Company announced on May 2, 2023 that its Board of Directors authorized a plan under which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 to $20 million of its Class A common stock and, following the Company’s utilization of that share repurchase authorization, the Company announced on October 26, 2023, September 9, 2024, October 29, 2024, September 13, 2025, and December 16, 2025 that its Board of Directors approved additional share repurchase authorizations under which the Company may repurchase up to an additional $30 million, $50 million, $25 million, $50 million, and $50 million, respectively, of its Class A common stock (collectively, the Repurchase Program). Subject to market conditions and other factors, the Repurchase Program is intended to make opportunistic repurchases of the Company’s Class A common stock to reduce the Company’s outstanding share count.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the Company to repurchase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the Company may, from time to time, enter into Rule 10b5-1 trading plans to facilitate repurchases. Shares repurchased under the Repurchase Program are retired. The Company repurchased 5.8 million shares of Class A common stock for $70.3 million, including costs associated with the repurchases, during 2025, and 6.5 million shares of Class A common stock for $80.4 million during 2024. Additionally, the Company paid $0.3 million of excise taxes during 2025 which related to previous share repurchases. The remaining share repurchase authorization under the Repurchase Program is $55.2 million as of December 31, 2025. See Note 15–Subsequent Events for further discussion.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Shares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reserved the following shares of Class A common stock for future issuance: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from stock options and RSUs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equity award grants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ESPP offerings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reserved</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22,795</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—In October 2021, the Company’s Board of Directors approved the adoption of the 2021 Equity Incentive Plan (the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the termination of the predecessor 2012 Equity Incentive Plan (the 2012 Plan). The termination of the 2012 Plan had no impact on the terms of outstanding awards under the 2012 plan.The 2021 Plan had an initial authorization to grant share-based awards for up to 4.1 million shares of Class A common stock, with an amendment approved by stockholders in May 2022 to increase the aggregate number of shares of Class A common stock reserved for issuance thereunder by 8.0 million shares. The number of shares of Class A common stock reserved for issuance under the 2021 Plan will automatically increase on January 1 of each calendar year,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concurrent with the closing of the acquisition of On the Barrelhead, Inc. (OTB) on July 11, 2022, the Compensation Committee of the Company’s Board of Directors granted RSUs under the NerdWallet, Inc. 2022 Inducement Equity Incentive Plan (the Inducement Plan) to employees of OTB who were offered employment with the Company.</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2021 Plan and the predecessor 2012 Plan, both as amended, along with the Inducement Plan (collectively, the Plans) provide for the grant of incentive and non-statutory stock options, stock appreciation rights, RSUs and restricted stock awards to employees, non-employee directors and consultants of the Company, with such awards subject to vest according to an award-specific schedule as approved by the Board of Directors. Options to purchase Class A common stock granted under the Plans continue to vest until the last day of employment and generally will vest 25% in the first year and monthly thereafter (for a total vesting period of 4 years), and expire 10 years from the date of grant. RSUs granted under the Plans are subject to service-based vesting conditions, which are generally satisfied over 4 years or an award-specific schedule.</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granted under the Plans must be at least equal to 100% of the fair market value of the Company’s Class A common stock at the date of grant, as determined by the Board of Directors. The exercise price must not be less than 110% of the fair market value of the Company’s Class A common stock at the date of grant for incentive stock options granted to an employee that owns greater than 10% of the Company stock.</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A summary of the Company’s stock option activity for its Plans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spacing w:after="0"/>
              <w:rPr>
                <w:sz w:val="15"/>
                <w:szCs w:val="15"/>
                <w:color w:val="auto"/>
              </w:rPr>
            </w:pPr>
          </w:p>
        </w:tc>
      </w:t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5"/>
                <w:szCs w:val="15"/>
                <w:color w:val="auto"/>
              </w:rPr>
            </w:pPr>
          </w:p>
        </w:tc>
      </w:t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300" w:type="dxa"/>
            <w:vAlign w:val="bottom"/>
          </w:tcPr>
          <w:p>
            <w:pPr>
              <w:spacing w:after="0"/>
              <w:rPr>
                <w:sz w:val="15"/>
                <w:szCs w:val="15"/>
                <w:color w:val="auto"/>
              </w:rPr>
            </w:pP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4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r>
              <w:rPr>
                <w:rFonts w:ascii="Times New Roman" w:cs="Times New Roman" w:eastAsia="Times New Roman" w:hAnsi="Times New Roman"/>
                <w:sz w:val="23"/>
                <w:szCs w:val="23"/>
                <w:color w:val="auto"/>
                <w:vertAlign w:val="superscript"/>
              </w:rPr>
              <w:t>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4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r>
      <w:tr>
        <w:trPr>
          <w:trHeight w:val="28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1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December 31,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stock options with both service-based and performance-based conditions.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less than 0.1 million of stock options with both service-based and performance-based conditions.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80" w:name="page81"/>
    <w:bookmarkEnd w:id="80"/>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2025 and 2024 was $6.14 and $9.08 per share, respectively. There were no options granted during 2023. The aggregate intrinsic value of options exercised was $0.8 million, $8.0 million and $14.5 million during 2025, 2024 and 2023, respectively.</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2024, the Company granted 0.2 million of target award stock options with both service-based and performance-based conditions to certain employees of the Company. Recipients of these performance-based stock options were eligible to earn between 0% and 200% of their target awards based upon the achievement of (i) a revenue-related growth metric and (ii) a non-GAAP operating income-related metric, both in fiscal year 2024, subject to certification in early 2025 of the attainment of the performance levels. These performance-based stock options are also subject to service-based vesting over a period of 3 years.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compensation cost related to non-vested stock options granted under the Plans was $11.9 million as of December 31, 2025, with the cost expected to be recognized over a weighted-average period of 3.2 years.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per-share fair value of each stock option was determined on the date of grant using the following weighted-average assumptions: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5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gridSpan w:val="2"/>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70"/>
        </w:trPr>
        <w:tc>
          <w:tcPr>
            <w:tcW w:w="8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8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59"/>
        </w:trPr>
        <w:tc>
          <w:tcPr>
            <w:tcW w:w="85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—A summary of the Company’s outstanding nonvested RSUs for its Plans is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3"/>
        </w:trPr>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5"/>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r>
              <w:rPr>
                <w:rFonts w:ascii="Times New Roman" w:cs="Times New Roman" w:eastAsia="Times New Roman" w:hAnsi="Times New Roman"/>
                <w:sz w:val="23"/>
                <w:szCs w:val="23"/>
                <w:color w:val="auto"/>
                <w:vertAlign w:val="superscript"/>
              </w:rPr>
              <w:t>1</w:t>
            </w:r>
          </w:p>
        </w:tc>
        <w:tc>
          <w:tcPr>
            <w:tcW w:w="1300" w:type="dxa"/>
            <w:vAlign w:val="bottom"/>
            <w:gridSpan w:val="2"/>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70"/>
        </w:trPr>
        <w:tc>
          <w:tcPr>
            <w:tcW w:w="8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00" w:type="dxa"/>
            <w:vAlign w:val="bottom"/>
            <w:gridSpan w:val="2"/>
          </w:tcPr>
          <w:p>
            <w:pPr>
              <w:jc w:val="center"/>
              <w:ind w:left="715"/>
              <w:spacing w:after="0"/>
              <w:rPr>
                <w:sz w:val="20"/>
                <w:szCs w:val="20"/>
                <w:color w:val="auto"/>
              </w:rPr>
            </w:pPr>
            <w:r>
              <w:rPr>
                <w:rFonts w:ascii="Times New Roman" w:cs="Times New Roman" w:eastAsia="Times New Roman" w:hAnsi="Times New Roman"/>
                <w:sz w:val="18"/>
                <w:szCs w:val="18"/>
                <w:color w:val="auto"/>
              </w:rPr>
              <w:t>4,355</w:t>
            </w:r>
          </w:p>
        </w:tc>
        <w:tc>
          <w:tcPr>
            <w:tcW w:w="20" w:type="dxa"/>
            <w:vAlign w:val="bottom"/>
          </w:tcPr>
          <w:p>
            <w:pPr>
              <w:spacing w:after="0"/>
              <w:rPr>
                <w:sz w:val="23"/>
                <w:szCs w:val="23"/>
                <w:color w:val="auto"/>
              </w:rPr>
            </w:pP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70"/>
        </w:trPr>
        <w:tc>
          <w:tcPr>
            <w:tcW w:w="8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320" w:type="dxa"/>
            <w:vAlign w:val="bottom"/>
            <w:gridSpan w:val="3"/>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8"/>
              </w:rPr>
              <w:t>(2,897)</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70"/>
        </w:trPr>
        <w:tc>
          <w:tcPr>
            <w:tcW w:w="85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gridSpan w:val="3"/>
          </w:tcPr>
          <w:p>
            <w:pPr>
              <w:jc w:val="center"/>
              <w:ind w:left="675"/>
              <w:spacing w:after="0"/>
              <w:rPr>
                <w:sz w:val="20"/>
                <w:szCs w:val="20"/>
                <w:color w:val="auto"/>
              </w:rPr>
            </w:pPr>
            <w:r>
              <w:rPr>
                <w:rFonts w:ascii="Times New Roman" w:cs="Times New Roman" w:eastAsia="Times New Roman" w:hAnsi="Times New Roman"/>
                <w:sz w:val="18"/>
                <w:szCs w:val="18"/>
                <w:color w:val="auto"/>
                <w:w w:val="98"/>
              </w:rPr>
              <w:t>(1,009)</w:t>
            </w:r>
          </w:p>
        </w:tc>
        <w:tc>
          <w:tcPr>
            <w:tcW w:w="300" w:type="dxa"/>
            <w:vAlign w:val="bottom"/>
            <w:tcBorders>
              <w:bottom w:val="single" w:sz="8" w:color="CCEEFF"/>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89"/>
        </w:trPr>
        <w:tc>
          <w:tcPr>
            <w:tcW w:w="8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r>
              <w:rPr>
                <w:rFonts w:ascii="Times New Roman" w:cs="Times New Roman" w:eastAsia="Times New Roman" w:hAnsi="Times New Roman"/>
                <w:sz w:val="23"/>
                <w:szCs w:val="23"/>
                <w:color w:val="auto"/>
                <w:vertAlign w:val="superscript"/>
              </w:rPr>
              <w:t>1</w:t>
            </w:r>
          </w:p>
        </w:tc>
        <w:tc>
          <w:tcPr>
            <w:tcW w:w="1300" w:type="dxa"/>
            <w:vAlign w:val="bottom"/>
            <w:tcBorders>
              <w:bottom w:val="single" w:sz="8" w:color="auto"/>
            </w:tcBorders>
            <w:gridSpan w:val="2"/>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5,070</w:t>
            </w: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less than 0.1 million of RSUs with both service-based and performance-based conditions.</w:t>
      </w:r>
    </w:p>
    <w:p>
      <w:pPr>
        <w:spacing w:after="0" w:line="1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2024, the Company granted 0.1 million of target award RSUs with both service-based and performance-based conditions to certain employees of the Company. Recipients of these performance-based RSUs were eligible to earn between 0% and 200% of their target awards based upon the achievement of (i) a revenue-related growth metric and (ii) a non-GAAP operating income-related metric, both in fiscal year 2024, subject to certification in early 2025 of the attainment of the performance levels. These performance-based RSUs are also subject to service-based vesting over a period of three years. The total fair value of shares that vested under RSUs was $32.3 million and $37.0 million during 2025 and 2024, respectively.</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RSUs was $51.8 million as of December 31, 2025, with these costs expected to be recognized over a weighted-average period of approximately 2.8 years.</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Company sponsors an ESPP which allows eligible employees to buy shares of the Company’s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at a 15% discount of the stock’s market value on defined dates. The ESPP included an initial authorization for the issuance of 0.8 million shares of the Company’s Class A common stock under purchase rights granted to eligible employees, with automatic increases in the number of shares reserved for issuance on January 1 of each calendar year, beginning in 2023 and through 2031, subject to terms of the ESPP. There were 0.3 million and 0.1 million shares of the Company’s Class A common stock purchased under the ESPP during 2025 and 2024, respectively. Prior to capitalizing amounts related to software development costs, the Company recognized stock-based compensation related to the ESPP of $1.0 million and $0.7 million during 2025 and 2024, respectively. Unrecognized compensation cost related to the ESPP was $0.3 million as of December 31, 2025, with these costs expected to be recognized over a period of 0.3 years through the end of the respective purchase period. The impact of forfeitures under the ESPP are recognized as forfeitures occur.</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fair value of purchase rights granted under the ESPP were determined on the date of grant using the following weighted-average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of $3.3 million, $3.8 million and $5.5 million was capitalized related to software development costs in 2025, 2024 and 2023,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recognized tax benefits for stock-based compensation arrangements of $7.1 million and $10.9 million in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the provision for (benefit from) income taxes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7"/>
              </w:rPr>
              <w:t>9.7</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1"/>
                <w:szCs w:val="21"/>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8"/>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7"/>
              </w:rPr>
              <w:t>6.3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2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2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72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U.S. valuation allowance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contingency and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at effective tax rate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An Act to Provide for Reconciliation Pursuant to Title II of H. Con. Res. 14, commonly known as the One Big Beautiful Bill Act. Included in this legislation are provisions that allow for the immediate expensing of domestic U.S. research and development expenses, immediate expensing of certain capital expenditures, and other changes to the U.S. taxation of profits derived from foreign operations. The Company has incorporated the new legislation into its income tax provision, as applicable, and determined that there was no material impact on the Company’s tax provision for 2025.</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and liabilities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difference for fixed assets and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deferred tax assets are recorded as a noncurrent asset, and net deferred tax liabilities are recorded in other liabilities—noncurrent, on the Company’s consolidated balance sheet.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valuation allowance for deferred tax assets increased $0.3 million in 2025, decreased $26.0 million in 2024, and increased $20.8 million in 2023, with changes in the valuation allowance recognized as an income tax provision (benefit) in the consolidated statements of operations.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83" w:name="page84"/>
    <w:bookmarkEnd w:id="83"/>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federal net operating loss carryforwards (NOLs) of $8.5 million, substantially all of which can be carried forward indefinitely, state NOLs of $15.5 million, the majority of which, if not utilized, will begin to expire on various dates beginning in 2034, and foreign NOLs of $10.0 million which can be carried forward indefinitely.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$0.8 million of federal research and development credit carryforwards, which can be carried forward to 2046, and $20.4 million of California research and development credit carryforwards which can be carried forward indefinitely.</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Utilization of the Company’s federal and state NOLs and tax credit carryforwards, as well as of other temporary differences, is dependent upon the generation of sufficient taxable income in future periods. In the Company’s ongoing assessment of all available evidence, both positive and negative, the Company considers the scheduled reversal of deferred tax liabilities, the Company’s future operating model and the expected impacts on future profitability, and prudent and feasible tax-planning strategies. The Company had previously maintained a valuation allowance against these net U.S. deferred tax assets as of December 31, 2023. During the three months ended December 31, 2024, the Company concluded that it was more likely than not that the Company will be able to fully realize its net U.S. Federal and majority state deferred tax assets, with a significant improvement in the Company’s profitability, coupled with anticipated future earnings, deemed to provide positive evidence to support sufficient taxable income in future periods, and accordingly recorded a valuation allowance release of $27.2 million. The Company continues to maintain a valuation allowance on its California deferred tax assets, which consist primarily of tax credits, as of December 31, 2025. The valuation allowance for deferred tax assets was $14.4 million and $14.1 million as of December 31, 2025 and 2024, respectively. The Company’s judgment regarding the likelihood of realization of these deferred tax assets could change in future periods, which could result in a material impact to the Company’s income tax provision in the period of change.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unrecognized tax benefits, excluding accrued interest and penalties,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6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86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increases</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end of year</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and penalties were $1.1 million for 2025, $0.5 million for 2024, and not material for 2023. As of December 31, 2025, unrecognized tax benefits of $9.8 million, including accrued interest and penalties, would affect the Company’s provision for income taxes if recognized. The Company does not anticipate that its total unrecognized tax benefits will significantly change due to settlement of examination or the expiration of statute of limitations during the next 12 months.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The Company’s tax years for 2015 and forward are subject to examination by U.S. and various state tax authorities due to certain acquired attribute carryforwards.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Basic and Diluted Share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computes EPS in conformity with the two-class method required for participating securities. The following table provides a reconciliation of the numerators and denominators of the basic and diluted per share computations for net income (loss) attributable to common stockholders: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stockholders–basic and diluted</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RSUs, stock options and ESPP shares</w:t>
            </w: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8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6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income (loss) per share for the periods presented because including them would have been antidilutive:</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158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5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sponsors a 401(k) savings plan (the Savings Plan). All employees are eligible to participate in the Savings Plan after meeting certain eligibility requirements. Participants may elect to have a portion of their salary deferred and contributed to the Savings Plan up to the limit allowed by the applicable income tax regulations. The Company’s policy is to match employee contributions up to certain overall limits. The Company made matching contributions of $3.7 million, $4.2 million and $4.8 million during 2025, 2024 and 2023,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Plan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30, 2024, the Company committed to a restructuring plan, effective August 1, 2024, intended to reduce the Company’s operating expenses and better position the Company to execute its long-term strategic initiatives (the Restructuring Plan). The Restructuring Plan was substantially completed during 2024, and reduced the size of the Company’s workforce by approximately 15% of its full-time employees, as compared to its headcount as of December 31, 2023. The Company incurred a pre-tax restructuring charge of $9.0 million in 2024 in connection with the Restructuring Plan, which primarily consisted of severance payments, stock-based compensation, employee benefits, and related expenses for impacted employees, as well as contract termination costs, and is presented in the consolidated statement of operations as $5.8 million of research and development expenses, $2.0 million of sales and marketing expenses and $1.2 million of general and administrative expenses. The Company incurred pre-tax restructuring charges of $0.5 million in 2025 as it completed the Restructuring Plan.</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restructuring reserve, which is included in accrued expenses and other current liabilities on the consolidated balance sheet,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9"/>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end of year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Acquisition of College Finance Company, LLC</w:t>
      </w:r>
      <w:r>
        <w:rPr>
          <w:rFonts w:ascii="Times New Roman" w:cs="Times New Roman" w:eastAsia="Times New Roman" w:hAnsi="Times New Roman"/>
          <w:sz w:val="18"/>
          <w:szCs w:val="18"/>
          <w:color w:val="auto"/>
        </w:rPr>
        <w:t>—On February 20, 2026, the Company entered into a Membership Interest Purchase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inspHIRE IO Corp., d/b/a Candidly (the Seller), pursuant to which the Company agreed to acquire 100% of the outstanding membership interests of College Finance Company, LLC.</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aggregate purchase price consisted of $18.8 million in cash, subject to customary adjustments for cash and cash equivalents, indebtedness, transaction expenses and working capital. Out of the purchase price, a cash amount of $1.5 million was placed into escrow to secure potential post-closing indemnification rights.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under the Membership Interest Purchase Agreement, RSU awards with an aggregate grant-date fair value of approximately $3.3 million were granted to certain continuing key employees of College Finance Company, LLC with the value of such RSU awards to be recognized as compensation expense following the close of the acquisition through 2029, generally subject to the employees’ continued employment with the Company. The value of these RSU awards is excluded from the purchase consideration and accounted for separately from the business combination.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Given the recent timing of the closing of this acquisition, the Company is in the process of evaluating the purchase price allocation for this acquisition.</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Repurchase Program</w:t>
      </w:r>
      <w:r>
        <w:rPr>
          <w:rFonts w:ascii="Times New Roman" w:cs="Times New Roman" w:eastAsia="Times New Roman" w:hAnsi="Times New Roman"/>
          <w:sz w:val="18"/>
          <w:szCs w:val="18"/>
          <w:color w:val="auto"/>
        </w:rPr>
        <w:t>—On February 20, 2026, the Company’s Board of Directors approved an increase in the share repurchase authorization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may repurchase up to an additional $100.0 million of its Class A common stock under the Repurchase Program. Between January 1, 2026 and February 23, 2026, the Company repurchased 4.5 million shares of Class A common stock for $50.6 million, including costs associated with the repurchases. The remaining share repurchase authorization under the Repurchase Program is $104.7 million as of February 23, 2026.</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management of the Company, with the participation of the Company’s Chief Executive Officer and Chief Financial Officer, has evaluated the effectiveness of the Company’s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the Company, including the Company’s Chief Executive Officer and Chief Financial Officer, conducted an assessment of the 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2025.</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the Company’s internal control over financial reporting from the Company’s independent registered public accounting firm due to the Company’s status as an “emerging growth company” under the JOBS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December 31, 2025 that have materially affected, or are reasonably likely to materially affect, the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management of the Company, including the Company’s Chief Executive Officer and Chief Financial Officer, believes that the Company’s disclosure controls and procedures and internal control over financial reporting are designed to provide reasonable assurance of achieving their objectives and are effective at the reasonable assurance level. However, management does not expect that the Company’s disclosure controls and procedures or the Company’s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or Executive Officers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 of the Exchange Act) adopted, modified or terminated a Rule 10b5-1 trading arrangement or a non-Rule 10b5-1 trading arrangement (as such terms are defined under Item 408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Business Officer</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23, 2026, Samuel Yount, Chief Business Officer of the Company, provided notice of his intention to depart the Company, effective April 3, 2026, to pursue other opportunities.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about aggregate fees billed to us by our principal accountant, Deloitte &amp; Touche LLP (PCAOB ID No. 34) is incorporated by reference to the Proxy Statement for our 2026 Annual Meeting of Stockholders which will be filed with the SEC no later than 120 days after December 31,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0" w:type="dxa"/>
            <w:vAlign w:val="bottom"/>
            <w:gridSpan w:val="21"/>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Agreement and Plan of Merger and Reorganization, dated June 23, 2022, by and</w:t>
              </w:r>
            </w:hyperlink>
          </w:p>
        </w:tc>
        <w:tc>
          <w:tcPr>
            <w:tcW w:w="220" w:type="dxa"/>
            <w:vAlign w:val="bottom"/>
            <w:gridSpan w:val="6"/>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among NerdWallet, Inc., On the Barrelhead, Inc., Bighorn Merger Sub Corp.,</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Bighorn Merger Sub 2, LLC, NerdWallet Compare, Inc. and Fortis Advisors LLC,</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as the stockholder representative.</w:t>
              </w:r>
            </w:hyperlink>
          </w:p>
        </w:tc>
        <w:tc>
          <w:tcPr>
            <w:tcW w:w="3520" w:type="dxa"/>
            <w:vAlign w:val="bottom"/>
            <w:tcBorders>
              <w:top w:val="single" w:sz="8" w:color="0000FF"/>
            </w:tcBorders>
            <w:gridSpan w:val="18"/>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Amended and Restated Certificate of Incorporation of the Registrant.</w:t>
              </w:r>
            </w:hyperlink>
          </w:p>
        </w:tc>
        <w:tc>
          <w:tcPr>
            <w:tcW w:w="1020" w:type="dxa"/>
            <w:vAlign w:val="bottom"/>
            <w:gridSpan w:val="13"/>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Certificate of Amendment of Amended and Restated Certificate of Incorporation</w:t>
              </w:r>
            </w:hyperlink>
          </w:p>
        </w:tc>
        <w:tc>
          <w:tcPr>
            <w:tcW w:w="18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74">
              <w:r>
                <w:rPr>
                  <w:rFonts w:ascii="Times New Roman" w:cs="Times New Roman" w:eastAsia="Times New Roman" w:hAnsi="Times New Roman"/>
                  <w:sz w:val="18"/>
                  <w:szCs w:val="18"/>
                  <w:color w:val="0000FF"/>
                  <w:w w:val="97"/>
                </w:rPr>
                <w:t>of the Registrant.</w:t>
              </w:r>
            </w:hyperlink>
          </w:p>
        </w:tc>
        <w:tc>
          <w:tcPr>
            <w:tcW w:w="4760" w:type="dxa"/>
            <w:vAlign w:val="bottom"/>
            <w:gridSpan w:val="23"/>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Amended and Restated Bylaws of the Registrant</w:t>
              </w:r>
            </w:hyperlink>
            <w:r>
              <w:rPr>
                <w:rFonts w:ascii="Times New Roman" w:cs="Times New Roman" w:eastAsia="Times New Roman" w:hAnsi="Times New Roman"/>
                <w:sz w:val="18"/>
                <w:szCs w:val="18"/>
                <w:color w:val="000000"/>
              </w:rPr>
              <w:t>.</w:t>
            </w: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Description of Securities of the Registrant.</w:t>
              </w:r>
            </w:hyperlink>
          </w:p>
        </w:tc>
        <w:tc>
          <w:tcPr>
            <w:tcW w:w="400" w:type="dxa"/>
            <w:vAlign w:val="bottom"/>
            <w:tcBorders>
              <w:top w:val="single" w:sz="8" w:color="0000FF"/>
            </w:tcBorders>
            <w:gridSpan w:val="2"/>
          </w:tcPr>
          <w:p>
            <w:pPr>
              <w:spacing w:after="0"/>
              <w:rPr>
                <w:sz w:val="24"/>
                <w:szCs w:val="24"/>
                <w:color w:val="auto"/>
              </w:rPr>
            </w:pPr>
          </w:p>
        </w:tc>
        <w:tc>
          <w:tcPr>
            <w:tcW w:w="2520" w:type="dxa"/>
            <w:vAlign w:val="bottom"/>
            <w:gridSpan w:val="15"/>
          </w:tcPr>
          <w:p>
            <w:pPr>
              <w:spacing w:after="0"/>
              <w:rPr>
                <w:sz w:val="24"/>
                <w:szCs w:val="24"/>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Credit Agreement, dated as of September 26, 2023 among NerdWallet, Inc., the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subsidiary guarantors from time to time party thereto, JPMorgan Chase Bank,</w:t>
              </w:r>
            </w:hyperlink>
          </w:p>
        </w:tc>
        <w:tc>
          <w:tcPr>
            <w:tcW w:w="280" w:type="dxa"/>
            <w:vAlign w:val="bottom"/>
            <w:gridSpan w:val="7"/>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National Association, as Administrative Agent, and the Lenders party thereto, as</w:t>
              </w:r>
            </w:hyperlink>
          </w:p>
        </w:tc>
        <w:tc>
          <w:tcPr>
            <w:tcW w:w="20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by that First Amendment to Credit Agreement, dated November 1, 2023.</w:t>
              </w:r>
            </w:hyperlink>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tcBorders>
              <w:top w:val="single" w:sz="8" w:color="0000FF"/>
            </w:tcBorders>
            <w:gridSpan w:val="2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Sublease Agreement between Yelp Inc. and the Registrant, dated April 27, 2021.</w:t>
              </w:r>
            </w:hyperlink>
          </w:p>
        </w:tc>
        <w:tc>
          <w:tcPr>
            <w:tcW w:w="80" w:type="dxa"/>
            <w:vAlign w:val="bottom"/>
            <w:gridSpan w:val="2"/>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2012 Equity Incentive Plan.</w:t>
              </w:r>
            </w:hyperlink>
          </w:p>
        </w:tc>
        <w:tc>
          <w:tcPr>
            <w:tcW w:w="40" w:type="dxa"/>
            <w:vAlign w:val="bottom"/>
          </w:tcPr>
          <w:p>
            <w:pPr>
              <w:spacing w:after="0"/>
              <w:rPr>
                <w:sz w:val="24"/>
                <w:szCs w:val="24"/>
                <w:color w:val="auto"/>
              </w:rPr>
            </w:pPr>
          </w:p>
        </w:tc>
        <w:tc>
          <w:tcPr>
            <w:tcW w:w="680" w:type="dxa"/>
            <w:vAlign w:val="bottom"/>
            <w:tcBorders>
              <w:top w:val="single" w:sz="8" w:color="0000FF"/>
            </w:tcBorders>
            <w:gridSpan w:val="6"/>
          </w:tcPr>
          <w:p>
            <w:pPr>
              <w:spacing w:after="0"/>
              <w:rPr>
                <w:sz w:val="24"/>
                <w:szCs w:val="24"/>
                <w:color w:val="auto"/>
              </w:rPr>
            </w:pPr>
          </w:p>
        </w:tc>
        <w:tc>
          <w:tcPr>
            <w:tcW w:w="200" w:type="dxa"/>
            <w:vAlign w:val="bottom"/>
            <w:gridSpan w:val="5"/>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Forms of Stock Option Agreement, Notice of Stock Option Grant,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Notice under the 2012 Equity Incentive Plan.</w:t>
              </w:r>
            </w:hyperlink>
          </w:p>
        </w:tc>
        <w:tc>
          <w:tcPr>
            <w:tcW w:w="280" w:type="dxa"/>
            <w:vAlign w:val="bottom"/>
            <w:gridSpan w:val="7"/>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Forms of Restricted Stock Unit Grant Notice and Restricted Stock Unit Award</w:t>
              </w:r>
            </w:hyperlink>
          </w:p>
        </w:tc>
        <w:tc>
          <w:tcPr>
            <w:tcW w:w="360" w:type="dxa"/>
            <w:vAlign w:val="bottom"/>
            <w:gridSpan w:val="8"/>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Agreement under the 2012 Equity Incentive Plan.</w:t>
              </w:r>
            </w:hyperlink>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2021 Equity Incentive Plan, as amended.</w:t>
              </w:r>
            </w:hyperlink>
          </w:p>
        </w:tc>
        <w:tc>
          <w:tcPr>
            <w:tcW w:w="620" w:type="dxa"/>
            <w:vAlign w:val="bottom"/>
            <w:tcBorders>
              <w:top w:val="single" w:sz="8" w:color="0000FF"/>
            </w:tcBorders>
            <w:gridSpan w:val="4"/>
          </w:tcPr>
          <w:p>
            <w:pPr>
              <w:spacing w:after="0"/>
              <w:rPr>
                <w:sz w:val="21"/>
                <w:szCs w:val="21"/>
                <w:color w:val="auto"/>
              </w:rPr>
            </w:pPr>
          </w:p>
        </w:tc>
        <w:tc>
          <w:tcPr>
            <w:tcW w:w="2440" w:type="dxa"/>
            <w:vAlign w:val="bottom"/>
            <w:gridSpan w:val="14"/>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Forms of Notice of Stock Option Grant, Stock Option Agreement,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Notice under the 2021 Equity Incentive Plan.</w:t>
              </w:r>
            </w:hyperlink>
          </w:p>
        </w:tc>
        <w:tc>
          <w:tcPr>
            <w:tcW w:w="280" w:type="dxa"/>
            <w:vAlign w:val="bottom"/>
            <w:gridSpan w:val="7"/>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6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Restricted Stock Unit Grant Notice and Award Agreement under the 2021</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Equity Incentive Plan.</w:t>
              </w:r>
            </w:hyperlink>
          </w:p>
        </w:tc>
        <w:tc>
          <w:tcPr>
            <w:tcW w:w="4340" w:type="dxa"/>
            <w:vAlign w:val="bottom"/>
            <w:tcBorders>
              <w:top w:val="single" w:sz="8" w:color="0000FF"/>
            </w:tcBorders>
            <w:gridSpan w:val="21"/>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PSU Agreement with Change of Control under the 2021 Equity Incentive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2"/>
              </w:rPr>
            </w:pPr>
            <w:hyperlink r:id="rId185">
              <w:r>
                <w:rPr>
                  <w:rFonts w:ascii="Times New Roman" w:cs="Times New Roman" w:eastAsia="Times New Roman" w:hAnsi="Times New Roman"/>
                  <w:sz w:val="18"/>
                  <w:szCs w:val="18"/>
                  <w:color w:val="0000FF"/>
                  <w:w w:val="92"/>
                </w:rPr>
                <w:t>Plan.</w:t>
              </w:r>
            </w:hyperlink>
          </w:p>
        </w:tc>
        <w:tc>
          <w:tcPr>
            <w:tcW w:w="5540" w:type="dxa"/>
            <w:vAlign w:val="bottom"/>
            <w:tcBorders>
              <w:top w:val="single" w:sz="8" w:color="0000FF"/>
            </w:tcBorders>
            <w:gridSpan w:val="21"/>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2022 Inducement Equity Incentive Plan.</w:t>
              </w:r>
            </w:hyperlink>
          </w:p>
        </w:tc>
        <w:tc>
          <w:tcPr>
            <w:tcW w:w="3100" w:type="dxa"/>
            <w:vAlign w:val="bottom"/>
            <w:gridSpan w:val="19"/>
          </w:tcPr>
          <w:p>
            <w:pPr>
              <w:spacing w:after="0"/>
              <w:rPr>
                <w:sz w:val="21"/>
                <w:szCs w:val="21"/>
                <w:color w:val="auto"/>
              </w:rPr>
            </w:pPr>
          </w:p>
        </w:tc>
      </w:tr>
      <w:tr>
        <w:trPr>
          <w:trHeight w:val="96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13"/>
          </w:tcPr>
          <w:p>
            <w:pPr>
              <w:jc w:val="right"/>
              <w:ind w:right="3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2588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Exhibit 2.1 to the Registrant’s Current Report on Form 8-K filed June 24, 2022</w:t>
      </w:r>
    </w:p>
    <w:p>
      <w:pPr>
        <w:spacing w:after="0" w:line="200" w:lineRule="exact"/>
        <w:rPr>
          <w:sz w:val="20"/>
          <w:szCs w:val="20"/>
          <w:color w:val="auto"/>
        </w:rPr>
      </w:pPr>
    </w:p>
    <w:p>
      <w:pPr>
        <w:spacing w:after="0" w:line="23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Exhibit 3.1 to the Registrant’s Current Report on Form 8-K filed November 10, 2021</w:t>
      </w:r>
    </w:p>
    <w:p>
      <w:pPr>
        <w:spacing w:after="0" w:line="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Exhibit 3.1 to the Registrant’s Quarterly Report on Form 10-Q filed July 31, 2024</w:t>
      </w:r>
    </w:p>
    <w:p>
      <w:pPr>
        <w:spacing w:after="0" w:line="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Exhibit 3.2 to the Registrant’s Current Report on Form 8-K filed November 10, 2021</w:t>
      </w:r>
    </w:p>
    <w:p>
      <w:pPr>
        <w:spacing w:after="0" w:line="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Exhibit 4.1 to the Registrant’s Annual Report on Form 10-K filed March 24, 2022</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10.8 to the Registrant’s Annual Report on Form 10-K filed February 20, 2024</w:t>
      </w:r>
    </w:p>
    <w:p>
      <w:pPr>
        <w:spacing w:after="0" w:line="200" w:lineRule="exact"/>
        <w:rPr>
          <w:sz w:val="20"/>
          <w:szCs w:val="20"/>
          <w:color w:val="auto"/>
        </w:rPr>
      </w:pPr>
    </w:p>
    <w:p>
      <w:pPr>
        <w:spacing w:after="0" w:line="23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10.17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10.6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10.7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10.8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99.1 to the Registrant’s Registration Statement on Form S-8 (No. 333-265197) filed May 25, 2022</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10.10 to the Registrant’s Registration Statement on Form S-1 (No. 333-260134) filed October 26,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10.11 to the Registrant’s Registration Statement on Form S-1 (No. 333-260134) filed October 26, 2021</w:t>
      </w:r>
    </w:p>
    <w:p>
      <w:pPr>
        <w:spacing w:after="0" w:line="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Exhibit 10.1 to the Registrant’s Current Report on Form 8-K (001-40994) filed March 17, 2023</w:t>
      </w:r>
    </w:p>
    <w:p>
      <w:pPr>
        <w:spacing w:after="0" w:line="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Exhibit 99.1 to the Registrant’s Registration Statement on Form S-8 (No. 333-266087) filed July 11, 2022</w:t>
      </w:r>
    </w:p>
    <w:p>
      <w:pPr>
        <w:sectPr>
          <w:pgSz w:w="11900" w:h="16838" w:orient="portrait"/>
          <w:cols w:equalWidth="0" w:num="2">
            <w:col w:w="7060" w:space="120"/>
            <w:col w:w="4020"/>
          </w:cols>
          <w:pgMar w:left="320" w:top="121" w:right="379" w:bottom="1440" w:gutter="0" w:footer="0" w:header="0"/>
        </w:sectPr>
      </w:pPr>
    </w:p>
    <w:bookmarkStart w:id="89" w:name="page90"/>
    <w:bookmarkEnd w:id="89"/>
    <w:p>
      <w:pPr>
        <w:ind w:left="34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21"/>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RSU Inducement Award Agreement for OTB Founders under the 2022</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Inducement Equity Incentive Plan.</w:t>
              </w:r>
            </w:hyperlink>
          </w:p>
        </w:tc>
        <w:tc>
          <w:tcPr>
            <w:tcW w:w="3220" w:type="dxa"/>
            <w:vAlign w:val="bottom"/>
            <w:tcBorders>
              <w:top w:val="single" w:sz="8" w:color="0000FF"/>
            </w:tcBorders>
            <w:gridSpan w:val="8"/>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Form of RSU Inducement Award Agreement for Other Employees under the 2022</w:t>
              </w:r>
            </w:hyperlink>
          </w:p>
        </w:tc>
        <w:tc>
          <w:tcPr>
            <w:tcW w:w="80" w:type="dxa"/>
            <w:vAlign w:val="bottom"/>
            <w:gridSpan w:val="4"/>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Inducement Equity Incentive Plan.</w:t>
              </w:r>
            </w:hyperlink>
          </w:p>
        </w:tc>
        <w:tc>
          <w:tcPr>
            <w:tcW w:w="3500" w:type="dxa"/>
            <w:vAlign w:val="bottom"/>
            <w:gridSpan w:val="20"/>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2021 Employee Stock Purchase Plan.</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Form of Indemnification Agreement entered into by and between the Registrant</w:t>
              </w:r>
            </w:hyperlink>
          </w:p>
        </w:tc>
        <w:tc>
          <w:tcPr>
            <w:tcW w:w="260" w:type="dxa"/>
            <w:vAlign w:val="bottom"/>
            <w:gridSpan w:val="11"/>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and each director and executive officer.</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Amended and Restated Change of Control and Severance Policy.</w:t>
              </w:r>
            </w:hyperlink>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Offer Letter, by and between Tim Chen and the Registrant, dated June 25, 2021.</w:t>
              </w:r>
            </w:hyperlink>
          </w:p>
        </w:tc>
        <w:tc>
          <w:tcPr>
            <w:tcW w:w="240" w:type="dxa"/>
            <w:vAlign w:val="bottom"/>
            <w:gridSpan w:val="10"/>
          </w:tcPr>
          <w:p>
            <w:pPr>
              <w:spacing w:after="0"/>
              <w:rPr>
                <w:sz w:val="24"/>
                <w:szCs w:val="24"/>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Offer Letter, by and between Lauren StClair and the Registrant, dated November</w:t>
              </w:r>
            </w:hyperlink>
          </w:p>
        </w:tc>
        <w:tc>
          <w:tcPr>
            <w:tcW w:w="180" w:type="dxa"/>
            <w:vAlign w:val="bottom"/>
            <w:gridSpan w:val="7"/>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20"/>
              <w:spacing w:after="0" w:line="196" w:lineRule="exact"/>
              <w:rPr>
                <w:rFonts w:ascii="Times New Roman" w:cs="Times New Roman" w:eastAsia="Times New Roman" w:hAnsi="Times New Roman"/>
                <w:sz w:val="18"/>
                <w:szCs w:val="18"/>
                <w:color w:val="0000FF"/>
                <w:w w:val="94"/>
              </w:rPr>
            </w:pPr>
            <w:hyperlink r:id="rId195">
              <w:r>
                <w:rPr>
                  <w:rFonts w:ascii="Times New Roman" w:cs="Times New Roman" w:eastAsia="Times New Roman" w:hAnsi="Times New Roman"/>
                  <w:sz w:val="18"/>
                  <w:szCs w:val="18"/>
                  <w:color w:val="0000FF"/>
                  <w:w w:val="94"/>
                </w:rPr>
                <w:t>23, 2020.</w:t>
              </w:r>
            </w:hyperlink>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Offer Letter, by and between Jun Hyung Lee and the Registrant, dated January 21,</w:t>
            </w:r>
          </w:p>
        </w:tc>
        <w:tc>
          <w:tcPr>
            <w:tcW w:w="80" w:type="dxa"/>
            <w:vAlign w:val="bottom"/>
            <w:gridSpan w:val="4"/>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2025.</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Performance Stock Option Agreement under the 2021 Equity Incentive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Plan.</w:t>
              </w:r>
            </w:hyperlink>
          </w:p>
        </w:tc>
        <w:tc>
          <w:tcPr>
            <w:tcW w:w="5340" w:type="dxa"/>
            <w:vAlign w:val="bottom"/>
            <w:tcBorders>
              <w:top w:val="single" w:sz="8" w:color="0000FF"/>
            </w:tcBorders>
            <w:gridSpan w:val="15"/>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Limited Consent and Second Amendment to Credit Agreement dated October 1,</w:t>
              </w:r>
            </w:hyperlink>
          </w:p>
        </w:tc>
        <w:tc>
          <w:tcPr>
            <w:tcW w:w="220" w:type="dxa"/>
            <w:vAlign w:val="bottom"/>
            <w:gridSpan w:val="9"/>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2024, by and among NerdWallet, Inc. and JPMorgan Chase Bank, N.A., as</w:t>
              </w:r>
            </w:hyperlink>
          </w:p>
        </w:tc>
        <w:tc>
          <w:tcPr>
            <w:tcW w:w="620" w:type="dxa"/>
            <w:vAlign w:val="bottom"/>
            <w:gridSpan w:val="1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Administrative Agent.</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Form of 2025 Executive Bonus Program under the 2021 Equity Incentive Program.</w:t>
              </w:r>
            </w:hyperlink>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Limited Consent, Waiver and Third Amendment to Credit Agreement dated June</w:t>
              </w:r>
            </w:hyperlink>
          </w:p>
        </w:tc>
        <w:tc>
          <w:tcPr>
            <w:tcW w:w="160" w:type="dxa"/>
            <w:vAlign w:val="bottom"/>
            <w:tcBorders>
              <w:top w:val="single" w:sz="8" w:color="0000FF"/>
            </w:tcBorders>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13, 2025, by and among NerdWallet, Inc. and JPMorgan Chase Bank, N.A., as</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Administrative Agent.</w:t>
              </w:r>
            </w:hyperlink>
          </w:p>
        </w:tc>
        <w:tc>
          <w:tcPr>
            <w:tcW w:w="360" w:type="dxa"/>
            <w:vAlign w:val="bottom"/>
            <w:gridSpan w:val="14"/>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r:id="rId200">
              <w:r>
                <w:rPr>
                  <w:rFonts w:ascii="Times New Roman" w:cs="Times New Roman" w:eastAsia="Times New Roman" w:hAnsi="Times New Roman"/>
                  <w:sz w:val="18"/>
                  <w:szCs w:val="18"/>
                  <w:color w:val="0000FF"/>
                  <w:w w:val="97"/>
                </w:rPr>
                <w:t>Insider Trading Policy.</w:t>
              </w:r>
            </w:hyperlink>
          </w:p>
        </w:tc>
        <w:tc>
          <w:tcPr>
            <w:tcW w:w="4360" w:type="dxa"/>
            <w:vAlign w:val="bottom"/>
            <w:gridSpan w:val="22"/>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Subsidiaries of the Registrant.</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firm.</w:t>
            </w:r>
          </w:p>
        </w:tc>
        <w:tc>
          <w:tcPr>
            <w:tcW w:w="40" w:type="dxa"/>
            <w:vAlign w:val="bottom"/>
            <w:gridSpan w:val="2"/>
          </w:tcPr>
          <w:p>
            <w:pPr>
              <w:spacing w:after="0"/>
              <w:rPr>
                <w:sz w:val="24"/>
                <w:szCs w:val="24"/>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11"/>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23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11"/>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23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1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11"/>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749"/>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2588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68"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99.2 to the Registrant’s Registration Statement on Form S-8 (No. 333-266087) filed July 11, 2022</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99.3 to the Registrant’s Registration Statement on Form S-8 (No. 333-266087) filed July 11, 2022</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10.12 to the Registrant’s Registration Statement on Form S-1 (No. 333-260134) filed October 26,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10.13 to the Registrant’s Registration Statement on Form S-1 (No. 333-260134) filed October 8, 2021</w:t>
      </w:r>
    </w:p>
    <w:p>
      <w:pPr>
        <w:spacing w:after="0" w:line="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Exhibit 10.2 to the Registrant’s Current Report on Form 8-K (001-40994) filed March 17, 2023</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10.21 to the Registrant’s Registration Statement on Form S-1 (No. 333-260134) filed October 8,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10.17 to the Registrant’s Registration Statement on Form S-1 (No. 333-260134) filed October 8,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April 25, 2024</w:t>
      </w:r>
    </w:p>
    <w:p>
      <w:pPr>
        <w:spacing w:after="0" w:line="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October 29, 2024</w:t>
      </w:r>
    </w:p>
    <w:p>
      <w:pPr>
        <w:spacing w:after="0" w:line="21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May 6, 2025</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August 7, 2025</w:t>
      </w:r>
    </w:p>
    <w:p>
      <w:pPr>
        <w:spacing w:after="0" w:line="21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Exhibit 19.1 to the Registrant's Annual Report on Form 10-K filed on February 19, 2025</w:t>
      </w:r>
    </w:p>
    <w:p>
      <w:pPr>
        <w:spacing w:after="0" w:line="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Exhibit 21.1 to the Registrant’s Annual Report on Form 10-K filed March 24,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7060" w:space="120"/>
            <w:col w:w="4020"/>
          </w:cols>
          <w:pgMar w:left="320" w:top="121" w:right="379" w:bottom="1440" w:gutter="0" w:footer="0" w:header="0"/>
          <w:type w:val="continuous"/>
        </w:sectPr>
      </w:pPr>
    </w:p>
    <w:bookmarkStart w:id="90" w:name="page91"/>
    <w:bookmarkEnd w:id="9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10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97.1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3"/>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Compensation Recovery Policy of the Registrant.</w:t>
              </w:r>
            </w:hyperlink>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Exhibit 97.1 to the Registrant’s Annual Report on Form</w:t>
            </w: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tcBorders>
              <w:top w:val="single" w:sz="8" w:color="0000FF"/>
            </w:tcBorders>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 filed February 20, 2024</w:t>
            </w:r>
          </w:p>
        </w:tc>
      </w:tr>
      <w:tr>
        <w:trPr>
          <w:trHeight w:val="23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0"/>
                <w:szCs w:val="20"/>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7" w:lineRule="exact"/>
        <w:rPr>
          <w:sz w:val="20"/>
          <w:szCs w:val="20"/>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certifications attached as Exhibits 32.1 and 32.2 that accompany this Annual Report on Form 10-K are deemed furnished and not filed with the Securities and Exchange Commission and</w:t>
      </w:r>
    </w:p>
    <w:p>
      <w:pPr>
        <w:spacing w:after="0" w:line="3" w:lineRule="exact"/>
        <w:rPr>
          <w:sz w:val="20"/>
          <w:szCs w:val="20"/>
          <w:color w:val="auto"/>
        </w:rPr>
      </w:pPr>
    </w:p>
    <w:p>
      <w:pPr>
        <w:ind w:left="340" w:right="20"/>
        <w:spacing w:after="0" w:line="259" w:lineRule="auto"/>
        <w:rPr>
          <w:sz w:val="20"/>
          <w:szCs w:val="20"/>
          <w:color w:val="auto"/>
        </w:rPr>
      </w:pPr>
      <w:r>
        <w:rPr>
          <w:rFonts w:ascii="Times New Roman" w:cs="Times New Roman" w:eastAsia="Times New Roman" w:hAnsi="Times New Roman"/>
          <w:sz w:val="14"/>
          <w:szCs w:val="14"/>
          <w:color w:val="auto"/>
        </w:rPr>
        <w:t>are not to be incorporated by reference into any filing under the Securities Act of 1933, as amended, or the Securities Exchange Act of 1934, as amended, whether made before or after the date of this Annual Report on Form 10-K, irrespective of any general incorporation language contained in such filing.</w:t>
      </w:r>
    </w:p>
    <w:p>
      <w:pPr>
        <w:jc w:val="both"/>
        <w:ind w:left="340" w:hanging="332"/>
        <w:spacing w:after="0" w:line="272" w:lineRule="auto"/>
        <w:tabs>
          <w:tab w:leader="none" w:pos="35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19"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(b) Financial Statement Schedules.</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February 25, 2026.</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200" w:lineRule="exact"/>
        <w:rPr>
          <w:sz w:val="20"/>
          <w:szCs w:val="20"/>
          <w:color w:val="auto"/>
        </w:rPr>
      </w:pPr>
    </w:p>
    <w:p>
      <w:pPr>
        <w:spacing w:after="0" w:line="299"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137160</wp:posOffset>
            </wp:positionV>
            <wp:extent cx="26746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1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 Chen</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82"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137160</wp:posOffset>
            </wp:positionV>
            <wp:extent cx="26746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1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Jun Hyung Lee</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Tim Chen</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54"/>
        </w:trPr>
        <w:tc>
          <w:tcPr>
            <w:tcW w:w="27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680" w:type="dxa"/>
            <w:vAlign w:val="bottom"/>
            <w:gridSpan w:val="2"/>
            <w:vMerge w:val="restart"/>
          </w:tcPr>
          <w:p>
            <w:pPr>
              <w:jc w:val="center"/>
              <w:ind w:right="120"/>
              <w:spacing w:after="0" w:line="128" w:lineRule="exact"/>
              <w:rPr>
                <w:sz w:val="20"/>
                <w:szCs w:val="20"/>
                <w:color w:val="auto"/>
              </w:rPr>
            </w:pPr>
            <w:r>
              <w:rPr>
                <w:rFonts w:ascii="Times New Roman" w:cs="Times New Roman" w:eastAsia="Times New Roman" w:hAnsi="Times New Roman"/>
                <w:sz w:val="13"/>
                <w:szCs w:val="13"/>
                <w:color w:val="auto"/>
              </w:rPr>
              <w:t>Chairman of the Board of Directors</w:t>
            </w: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Tim Chen</w:t>
            </w:r>
          </w:p>
        </w:tc>
        <w:tc>
          <w:tcPr>
            <w:tcW w:w="120" w:type="dxa"/>
            <w:vAlign w:val="bottom"/>
            <w:vMerge w:val="continue"/>
          </w:tcPr>
          <w:p>
            <w:pPr>
              <w:spacing w:after="0"/>
              <w:rPr>
                <w:sz w:val="4"/>
                <w:szCs w:val="4"/>
                <w:color w:val="auto"/>
              </w:rPr>
            </w:pPr>
          </w:p>
        </w:tc>
        <w:tc>
          <w:tcPr>
            <w:tcW w:w="3680" w:type="dxa"/>
            <w:vAlign w:val="bottom"/>
            <w:gridSpan w:val="2"/>
            <w:vMerge w:val="continue"/>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Jun Hyung Lee</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34"/>
        </w:trPr>
        <w:tc>
          <w:tcPr>
            <w:tcW w:w="2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Jun Hyung Lee</w:t>
            </w:r>
          </w:p>
        </w:tc>
        <w:tc>
          <w:tcPr>
            <w:tcW w:w="120" w:type="dxa"/>
            <w:vAlign w:val="bottom"/>
            <w:vMerge w:val="continue"/>
          </w:tcPr>
          <w:p>
            <w:pPr>
              <w:spacing w:after="0"/>
              <w:rPr>
                <w:sz w:val="15"/>
                <w:szCs w:val="15"/>
                <w:color w:val="auto"/>
              </w:rPr>
            </w:pPr>
          </w:p>
        </w:tc>
        <w:tc>
          <w:tcPr>
            <w:tcW w:w="3680" w:type="dxa"/>
            <w:vAlign w:val="bottom"/>
            <w:gridSpan w:val="2"/>
            <w:vMerge w:val="continue"/>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3"/>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Nicholas Tatum</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34"/>
        </w:trPr>
        <w:tc>
          <w:tcPr>
            <w:tcW w:w="2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Nicholas Tatum</w:t>
            </w:r>
          </w:p>
        </w:tc>
        <w:tc>
          <w:tcPr>
            <w:tcW w:w="120" w:type="dxa"/>
            <w:vAlign w:val="bottom"/>
            <w:vMerge w:val="continue"/>
          </w:tcPr>
          <w:p>
            <w:pPr>
              <w:spacing w:after="0"/>
              <w:rPr>
                <w:sz w:val="15"/>
                <w:szCs w:val="15"/>
                <w:color w:val="auto"/>
              </w:rPr>
            </w:pPr>
          </w:p>
        </w:tc>
        <w:tc>
          <w:tcPr>
            <w:tcW w:w="3680" w:type="dxa"/>
            <w:vAlign w:val="bottom"/>
            <w:gridSpan w:val="2"/>
            <w:vMerge w:val="continue"/>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Jennifer Ceran</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Jennifer Ceran</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Lynne Laube</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Lynne Laube</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Anthony Ling</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Anthony Ling</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Kenneth McBride</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Kenneth McBride</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21"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334010</wp:posOffset>
            </wp:positionV>
            <wp:extent cx="2288540" cy="411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22885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Offer Letter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January 21,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 Hyung Lee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 Employment Terms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Jun:</w:t>
      </w:r>
    </w:p>
    <w:p>
      <w:pPr>
        <w:spacing w:after="0" w:line="239" w:lineRule="exact"/>
        <w:rPr>
          <w:sz w:val="20"/>
          <w:szCs w:val="20"/>
          <w:color w:val="auto"/>
        </w:rPr>
      </w:pPr>
    </w:p>
    <w:p>
      <w:pPr>
        <w:jc w:val="both"/>
        <w:ind w:right="360" w:firstLine="17"/>
        <w:spacing w:after="0" w:line="268" w:lineRule="auto"/>
        <w:rPr>
          <w:sz w:val="20"/>
          <w:szCs w:val="20"/>
          <w:color w:val="auto"/>
        </w:rPr>
      </w:pPr>
      <w:r>
        <w:rPr>
          <w:rFonts w:ascii="Arial" w:cs="Arial" w:eastAsia="Arial" w:hAnsi="Arial"/>
          <w:sz w:val="18"/>
          <w:szCs w:val="18"/>
          <w:color w:val="auto"/>
        </w:rPr>
        <w:t>NerdWallet, Inc. (“NerdWallet” or the “Company”) is pleased to offer you employment in the position of Chief Financial Officer, an exempt position. Subject to all conditions imposed in this offer letter, your start date will be as of April 1, 2025 (“Start Date”).</w:t>
      </w:r>
    </w:p>
    <w:p>
      <w:pPr>
        <w:spacing w:after="0" w:line="171" w:lineRule="exact"/>
        <w:rPr>
          <w:sz w:val="20"/>
          <w:szCs w:val="20"/>
          <w:color w:val="auto"/>
        </w:rPr>
      </w:pPr>
    </w:p>
    <w:p>
      <w:pPr>
        <w:jc w:val="both"/>
        <w:ind w:right="340" w:firstLine="5"/>
        <w:spacing w:after="0" w:line="262" w:lineRule="auto"/>
        <w:rPr>
          <w:sz w:val="20"/>
          <w:szCs w:val="20"/>
          <w:color w:val="auto"/>
        </w:rPr>
      </w:pPr>
      <w:r>
        <w:rPr>
          <w:rFonts w:ascii="Arial" w:cs="Arial" w:eastAsia="Arial" w:hAnsi="Arial"/>
          <w:sz w:val="18"/>
          <w:szCs w:val="18"/>
          <w:color w:val="auto"/>
        </w:rPr>
        <w:t>You will be responsible for the duties outlined in your job description/architecture and will report to Tim Chen, Chief Executive Officer. You will work remotely from New Jersey, where you reside. You are expected to work from New Jersey absent advance authorization provided by your manager. To the extent your employment is governed by state law, the law of New Jersey will apply.</w:t>
      </w:r>
    </w:p>
    <w:p>
      <w:pPr>
        <w:spacing w:after="0" w:line="190" w:lineRule="exact"/>
        <w:rPr>
          <w:sz w:val="20"/>
          <w:szCs w:val="20"/>
          <w:color w:val="auto"/>
        </w:rPr>
      </w:pPr>
    </w:p>
    <w:p>
      <w:pPr>
        <w:jc w:val="both"/>
        <w:ind w:right="360" w:firstLine="5"/>
        <w:spacing w:after="0" w:line="262" w:lineRule="auto"/>
        <w:rPr>
          <w:sz w:val="20"/>
          <w:szCs w:val="20"/>
          <w:color w:val="auto"/>
        </w:rPr>
      </w:pPr>
      <w:r>
        <w:rPr>
          <w:rFonts w:ascii="Arial" w:cs="Arial" w:eastAsia="Arial" w:hAnsi="Arial"/>
          <w:sz w:val="18"/>
          <w:szCs w:val="18"/>
          <w:color w:val="auto"/>
        </w:rPr>
        <w:t>Of course, the Company may change your position, duties, and work location from time to time at its discretion. During the term of your employment, you shall devote your time, skill, and attention to your duties and responsibilities and shall perform them faithfully, diligently, and competently. In addition, you shall comply with the operating policies, procedures, and practices of the Company in effect during your employment.</w:t>
      </w:r>
    </w:p>
    <w:p>
      <w:pPr>
        <w:spacing w:after="0" w:line="190" w:lineRule="exact"/>
        <w:rPr>
          <w:sz w:val="20"/>
          <w:szCs w:val="20"/>
          <w:color w:val="auto"/>
        </w:rPr>
      </w:pPr>
    </w:p>
    <w:p>
      <w:pPr>
        <w:jc w:val="both"/>
        <w:ind w:right="360" w:firstLine="5"/>
        <w:spacing w:after="0" w:line="262" w:lineRule="auto"/>
        <w:rPr>
          <w:sz w:val="20"/>
          <w:szCs w:val="20"/>
          <w:color w:val="auto"/>
        </w:rPr>
      </w:pPr>
      <w:r>
        <w:rPr>
          <w:rFonts w:ascii="Arial" w:cs="Arial" w:eastAsia="Arial" w:hAnsi="Arial"/>
          <w:sz w:val="18"/>
          <w:szCs w:val="18"/>
          <w:color w:val="auto"/>
        </w:rPr>
        <w:t>This offer will be contingent upon a background check clearance (including criminal and credit history), satisfactory reference check, documentary evidence of your identity and eligibility for employment in the United States within three (3) business days of your date of hire, or our employment relationship with you may be terminated. By accepting this offer, you agree to provide any documentation or information at the Company’s request to facilitate these processes.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39" w:lineRule="exact"/>
        <w:rPr>
          <w:sz w:val="20"/>
          <w:szCs w:val="20"/>
          <w:color w:val="auto"/>
        </w:rPr>
      </w:pPr>
    </w:p>
    <w:p>
      <w:pPr>
        <w:jc w:val="both"/>
        <w:ind w:left="20" w:right="360" w:hanging="8"/>
        <w:spacing w:after="0" w:line="259" w:lineRule="auto"/>
        <w:rPr>
          <w:sz w:val="20"/>
          <w:szCs w:val="20"/>
          <w:color w:val="auto"/>
        </w:rPr>
      </w:pPr>
      <w:r>
        <w:rPr>
          <w:rFonts w:ascii="Arial" w:cs="Arial" w:eastAsia="Arial" w:hAnsi="Arial"/>
          <w:sz w:val="18"/>
          <w:szCs w:val="18"/>
          <w:color w:val="auto"/>
        </w:rPr>
        <w:t>You will receive an annual salary of $500,000, less payroll deductions and withholdings, payable on the Company’s ordinary semi-monthly payroll cycle on the 15th and last day of the month. As an exempt salaried employee, you will be expected to work the Company’s normal business hours as well as additional hours as required by the nature of your work assignments, and you will not be entitled to overtime compensation. Compensation and Benefits, as described here and in the following paragraphs, is generally reviewed annually and subject to adjustment.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Benefits</w:t>
      </w:r>
    </w:p>
    <w:p>
      <w:pPr>
        <w:spacing w:after="0" w:line="239" w:lineRule="exact"/>
        <w:rPr>
          <w:sz w:val="20"/>
          <w:szCs w:val="20"/>
          <w:color w:val="auto"/>
        </w:rPr>
      </w:pPr>
    </w:p>
    <w:p>
      <w:pPr>
        <w:jc w:val="both"/>
        <w:ind w:right="360" w:firstLine="17"/>
        <w:spacing w:after="0" w:line="259" w:lineRule="auto"/>
        <w:rPr>
          <w:sz w:val="20"/>
          <w:szCs w:val="20"/>
          <w:color w:val="auto"/>
        </w:rPr>
      </w:pPr>
      <w:r>
        <w:rPr>
          <w:rFonts w:ascii="Arial" w:cs="Arial" w:eastAsia="Arial" w:hAnsi="Arial"/>
          <w:sz w:val="18"/>
          <w:szCs w:val="18"/>
          <w:color w:val="auto"/>
        </w:rPr>
        <w:t xml:space="preserve">During your employment, you will be eligible to participate in the standard benefits plans offered to similarly situated employees by the Company from time to time, subject to plan terms and generally applicable Company policies. This includes being covered by the NerdWallet </w:t>
      </w:r>
      <w:r>
        <w:rPr>
          <w:rFonts w:ascii="Arial" w:cs="Arial" w:eastAsia="Arial" w:hAnsi="Arial"/>
          <w:sz w:val="18"/>
          <w:szCs w:val="18"/>
          <w:b w:val="1"/>
          <w:bCs w:val="1"/>
          <w:i w:val="1"/>
          <w:iCs w:val="1"/>
          <w:color w:val="auto"/>
        </w:rPr>
        <w:t>Change of Control and Severance Policy</w:t>
      </w:r>
      <w:r>
        <w:rPr>
          <w:rFonts w:ascii="Arial" w:cs="Arial" w:eastAsia="Arial" w:hAnsi="Arial"/>
          <w:sz w:val="18"/>
          <w:szCs w:val="18"/>
          <w:color w:val="auto"/>
        </w:rPr>
        <w:t>, which applies to the Company’s other senior executives, a copy of which is attached for your execution. The Company may change compensation and benefits from time to time in its discretion.</w:t>
      </w:r>
    </w:p>
    <w:p>
      <w:pPr>
        <w:sectPr>
          <w:pgSz w:w="11900" w:h="16838" w:orient="portrait"/>
          <w:cols w:equalWidth="0" w:num="1">
            <w:col w:w="10260"/>
          </w:cols>
          <w:pgMar w:left="1300" w:top="369" w:right="339" w:bottom="1440" w:gutter="0" w:footer="0" w:header="0"/>
        </w:sectPr>
      </w:pPr>
    </w:p>
    <w:bookmarkStart w:id="93" w:name="page94"/>
    <w:bookmarkEnd w:id="93"/>
    <w:p>
      <w:pPr>
        <w:ind w:left="20"/>
        <w:spacing w:after="0"/>
        <w:rPr>
          <w:sz w:val="20"/>
          <w:szCs w:val="20"/>
          <w:color w:val="auto"/>
        </w:rPr>
      </w:pPr>
      <w:r>
        <w:rPr>
          <w:rFonts w:ascii="Arial" w:cs="Arial" w:eastAsia="Arial" w:hAnsi="Arial"/>
          <w:sz w:val="18"/>
          <w:szCs w:val="18"/>
          <w:b w:val="1"/>
          <w:bCs w:val="1"/>
          <w:u w:val="single" w:color="auto"/>
          <w:color w:val="auto"/>
        </w:rPr>
        <w:t>Equity</w:t>
      </w:r>
    </w:p>
    <w:p>
      <w:pPr>
        <w:spacing w:after="0" w:line="225" w:lineRule="exact"/>
        <w:rPr>
          <w:sz w:val="20"/>
          <w:szCs w:val="20"/>
          <w:color w:val="auto"/>
        </w:rPr>
      </w:pPr>
    </w:p>
    <w:p>
      <w:pPr>
        <w:jc w:val="both"/>
        <w:ind w:right="360" w:firstLine="17"/>
        <w:spacing w:after="0" w:line="257" w:lineRule="auto"/>
        <w:rPr>
          <w:sz w:val="20"/>
          <w:szCs w:val="20"/>
          <w:color w:val="auto"/>
        </w:rPr>
      </w:pPr>
      <w:r>
        <w:rPr>
          <w:rFonts w:ascii="Arial" w:cs="Arial" w:eastAsia="Arial" w:hAnsi="Arial"/>
          <w:sz w:val="18"/>
          <w:szCs w:val="18"/>
          <w:color w:val="auto"/>
        </w:rPr>
        <w:t>For 2025 you will be provided equity compensation with a target value of $2,500,000. Half of the award ($1,250,000) will be provided in the form of restricted stock units (RSUs) and the other half of the award ($ 1,250,000) will be provided in the form of stock options, with the exercise price set at NerdWallet’s share price on the date of grant. Specifically, subject to approval by the Company's Board of Directors (the “Board”), you will be granted:</w:t>
      </w:r>
    </w:p>
    <w:p>
      <w:pPr>
        <w:jc w:val="both"/>
        <w:ind w:left="1300" w:right="340" w:hanging="312"/>
        <w:spacing w:after="0" w:line="252" w:lineRule="auto"/>
        <w:tabs>
          <w:tab w:leader="none" w:pos="142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Restricted stock units (“RSUs”</w:t>
      </w:r>
      <w:r>
        <w:rPr>
          <w:rFonts w:ascii="Arial" w:cs="Arial" w:eastAsia="Arial" w:hAnsi="Arial"/>
          <w:sz w:val="18"/>
          <w:szCs w:val="18"/>
          <w:color w:val="auto"/>
        </w:rPr>
        <w:t>) with a grant-date value of $1,250,000 (the</w:t>
      </w:r>
      <w:r>
        <w:rPr>
          <w:rFonts w:ascii="Arial" w:cs="Arial" w:eastAsia="Arial" w:hAnsi="Arial"/>
          <w:sz w:val="18"/>
          <w:szCs w:val="18"/>
          <w:i w:val="1"/>
          <w:iCs w:val="1"/>
          <w:color w:val="auto"/>
        </w:rPr>
        <w:t xml:space="preserve"> “RSU Award”</w:t>
      </w:r>
      <w:r>
        <w:rPr>
          <w:rFonts w:ascii="Arial" w:cs="Arial" w:eastAsia="Arial" w:hAnsi="Arial"/>
          <w:sz w:val="18"/>
          <w:szCs w:val="18"/>
          <w:color w:val="auto"/>
        </w:rPr>
        <w:t>), calculated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valuation in accordance with the Company's policies then in effect. The RSU Award will be governed by the terms and conditions of the Restricted Stock Unit Award Agreement (which you are required to sign) and the Company's 2021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Your RSU Award will vest over approximately four years, subject to a one-year vesting cliff (meaning none of the RSU Award will vest for approximately one year as measured from the date of grant of the RSU Award) and will generally vest quarterly thereafter, subject to your continuing to be an Employee as of each vesting date.</w:t>
      </w:r>
    </w:p>
    <w:p>
      <w:pPr>
        <w:spacing w:after="0" w:line="4" w:lineRule="exact"/>
        <w:rPr>
          <w:rFonts w:ascii="Arial" w:cs="Arial" w:eastAsia="Arial" w:hAnsi="Arial"/>
          <w:sz w:val="18"/>
          <w:szCs w:val="18"/>
          <w:color w:val="auto"/>
        </w:rPr>
      </w:pPr>
    </w:p>
    <w:p>
      <w:pPr>
        <w:jc w:val="both"/>
        <w:ind w:left="1300" w:right="360" w:hanging="303"/>
        <w:spacing w:after="0" w:line="267" w:lineRule="auto"/>
        <w:tabs>
          <w:tab w:leader="none" w:pos="1515"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Subject to approval by the Board and upon execution of the Company’s Option Grant</w:t>
      </w:r>
      <w:r>
        <w:rPr>
          <w:rFonts w:ascii="Arial" w:cs="Arial" w:eastAsia="Arial" w:hAnsi="Arial"/>
          <w:sz w:val="17"/>
          <w:szCs w:val="17"/>
          <w:i w:val="1"/>
          <w:iCs w:val="1"/>
          <w:color w:val="auto"/>
        </w:rPr>
        <w:t xml:space="preserve"> </w:t>
      </w:r>
      <w:r>
        <w:rPr>
          <w:rFonts w:ascii="Arial" w:cs="Arial" w:eastAsia="Arial" w:hAnsi="Arial"/>
          <w:sz w:val="17"/>
          <w:szCs w:val="17"/>
          <w:color w:val="auto"/>
        </w:rPr>
        <w:t>Notice, the Company will recommend that you be granted an option to purchase a grant-date value of $1,250,000 (“Options”) of the Company’s Class A Common Stock, with an exercise price set at NerdWallet’s share price on the date of grant (“Stock Options”) Stock Options will vest 25% after one year and in equal 1/48th monthly installments thereafter, subject to your continued employment with the Company.</w:t>
      </w:r>
    </w:p>
    <w:p>
      <w:pPr>
        <w:spacing w:after="0" w:line="1" w:lineRule="exact"/>
        <w:rPr>
          <w:rFonts w:ascii="Arial" w:cs="Arial" w:eastAsia="Arial" w:hAnsi="Arial"/>
          <w:sz w:val="17"/>
          <w:szCs w:val="17"/>
          <w:color w:val="auto"/>
        </w:rPr>
      </w:pPr>
    </w:p>
    <w:p>
      <w:pPr>
        <w:jc w:val="both"/>
        <w:ind w:left="1300" w:right="360" w:hanging="313"/>
        <w:spacing w:after="0" w:line="255" w:lineRule="auto"/>
        <w:tabs>
          <w:tab w:leader="none" w:pos="14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RSU and stock option grants shall be subject to the terms and conditions of the Company’s Equity Incentive Plan and applicable awards agreements, including vesting requirements. No right to any stock is earned or accrued until such time that vesting occurs, nor does the grant confer any right to continue vesting or employment. Annual equity awards are generally reviewed annually and subject to adjustment.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New Hire Equity Award</w:t>
      </w:r>
    </w:p>
    <w:p>
      <w:pPr>
        <w:spacing w:after="0" w:line="239" w:lineRule="exact"/>
        <w:rPr>
          <w:sz w:val="20"/>
          <w:szCs w:val="20"/>
          <w:color w:val="auto"/>
        </w:rPr>
      </w:pPr>
    </w:p>
    <w:p>
      <w:pPr>
        <w:jc w:val="both"/>
        <w:ind w:right="360" w:firstLine="6"/>
        <w:spacing w:after="0" w:line="268" w:lineRule="auto"/>
        <w:rPr>
          <w:sz w:val="20"/>
          <w:szCs w:val="20"/>
          <w:color w:val="auto"/>
        </w:rPr>
      </w:pPr>
      <w:r>
        <w:rPr>
          <w:rFonts w:ascii="Arial" w:cs="Arial" w:eastAsia="Arial" w:hAnsi="Arial"/>
          <w:sz w:val="18"/>
          <w:szCs w:val="18"/>
          <w:color w:val="auto"/>
        </w:rPr>
        <w:t>Subject to approval by the Board, in addition to the aforementioned equity, you will be provided an additional new-hire equity award with a target value of $3,500,000. Key terms will mirror the annual equity grant, with value split between RSUs and stock options that vest over four years.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Executive Bonus for 2025</w:t>
      </w:r>
    </w:p>
    <w:p>
      <w:pPr>
        <w:spacing w:after="0" w:line="239" w:lineRule="exact"/>
        <w:rPr>
          <w:sz w:val="20"/>
          <w:szCs w:val="20"/>
          <w:color w:val="auto"/>
        </w:rPr>
      </w:pPr>
    </w:p>
    <w:p>
      <w:pPr>
        <w:jc w:val="both"/>
        <w:ind w:right="360" w:firstLine="5"/>
        <w:spacing w:after="0" w:line="268" w:lineRule="auto"/>
        <w:rPr>
          <w:sz w:val="20"/>
          <w:szCs w:val="20"/>
          <w:color w:val="auto"/>
        </w:rPr>
      </w:pPr>
      <w:r>
        <w:rPr>
          <w:rFonts w:ascii="Arial" w:cs="Arial" w:eastAsia="Arial" w:hAnsi="Arial"/>
          <w:sz w:val="18"/>
          <w:szCs w:val="18"/>
          <w:color w:val="auto"/>
        </w:rPr>
        <w:t>Subject to approval by the Board, you will have a 2025 target annual bonus opportunity equal to 70% of your base salary, subject to the terms of the Executive Bonus Plan. Participation and any payment under the Executive Bonus Plan’s terms and conditions. For illustrative purposes only, a working draft of the proposed Executive Bonus Plan is attached.</w:t>
      </w:r>
    </w:p>
    <w:p>
      <w:pPr>
        <w:spacing w:after="0" w:line="184" w:lineRule="exact"/>
        <w:rPr>
          <w:sz w:val="20"/>
          <w:szCs w:val="20"/>
          <w:color w:val="auto"/>
        </w:rPr>
      </w:pPr>
    </w:p>
    <w:p>
      <w:pPr>
        <w:jc w:val="both"/>
        <w:ind w:left="20" w:right="380" w:firstLine="11"/>
        <w:spacing w:after="0" w:line="268" w:lineRule="auto"/>
        <w:rPr>
          <w:sz w:val="20"/>
          <w:szCs w:val="20"/>
          <w:color w:val="auto"/>
        </w:rPr>
      </w:pPr>
      <w:r>
        <w:rPr>
          <w:rFonts w:ascii="Arial" w:cs="Arial" w:eastAsia="Arial" w:hAnsi="Arial"/>
          <w:sz w:val="18"/>
          <w:szCs w:val="18"/>
          <w:color w:val="auto"/>
        </w:rPr>
        <w:t>Funding of the bonus will be based on performance metrics / goals approved by our Compensation Committee (generally in Q1 of each year) and it is anticipated that these will align with the metrics / goals used for other NerdWallet senior executives participating in the Executive Bonus Program.</w:t>
      </w:r>
    </w:p>
    <w:p>
      <w:pPr>
        <w:spacing w:after="0" w:line="171" w:lineRule="exact"/>
        <w:rPr>
          <w:sz w:val="20"/>
          <w:szCs w:val="20"/>
          <w:color w:val="auto"/>
        </w:rPr>
      </w:pPr>
    </w:p>
    <w:p>
      <w:pPr>
        <w:jc w:val="both"/>
        <w:ind w:left="20" w:right="380" w:firstLine="11"/>
        <w:spacing w:after="0" w:line="268" w:lineRule="auto"/>
        <w:rPr>
          <w:sz w:val="20"/>
          <w:szCs w:val="20"/>
          <w:color w:val="auto"/>
        </w:rPr>
      </w:pPr>
      <w:r>
        <w:rPr>
          <w:rFonts w:ascii="Arial" w:cs="Arial" w:eastAsia="Arial" w:hAnsi="Arial"/>
          <w:sz w:val="18"/>
          <w:szCs w:val="18"/>
          <w:color w:val="auto"/>
        </w:rPr>
        <w:t>Your target bonus opportunity will not be prorated for 2025, despite a start date that follows January 1, and will equal $350,000 (i.e., $500,000.00 salary x 70% target bonus). The amount of the bonus that is earned will be determined after the end of 2025, with payment made as soon as administratively feasible after the Q1 2026 Compensation Committee meeting.</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2</w:t>
      </w:r>
    </w:p>
    <w:p>
      <w:pPr>
        <w:sectPr>
          <w:pgSz w:w="11900" w:h="16838" w:orient="portrait"/>
          <w:cols w:equalWidth="0" w:num="1">
            <w:col w:w="10260"/>
          </w:cols>
          <w:pgMar w:left="1300" w:top="107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auto"/>
        </w:rPr>
        <w:t>Terms of Employment</w:t>
      </w:r>
    </w:p>
    <w:p>
      <w:pPr>
        <w:spacing w:after="0" w:line="239" w:lineRule="exact"/>
        <w:rPr>
          <w:sz w:val="20"/>
          <w:szCs w:val="20"/>
          <w:color w:val="auto"/>
        </w:rPr>
      </w:pPr>
    </w:p>
    <w:p>
      <w:pPr>
        <w:jc w:val="both"/>
        <w:ind w:right="360"/>
        <w:spacing w:after="0" w:line="257" w:lineRule="auto"/>
        <w:rPr>
          <w:sz w:val="20"/>
          <w:szCs w:val="20"/>
          <w:color w:val="auto"/>
        </w:rPr>
      </w:pPr>
      <w:r>
        <w:rPr>
          <w:rFonts w:ascii="Arial" w:cs="Arial" w:eastAsia="Arial" w:hAnsi="Arial"/>
          <w:sz w:val="18"/>
          <w:szCs w:val="18"/>
          <w:color w:val="auto"/>
        </w:rPr>
        <w:t>As a Company employee, you will be expected to abide by Company rules and policies (including but not limited to the Company’s Employee Handbook), as adopted or modified by the Company from time to time. As a condition of employment, you must sign and comply with the attached Confidential Information, Inventions Assignment and Arbitration Agreement which prohibit unauthorized use or disclosure of the Company’s proprietary information, among other obligations. At time of hire, you will also be required to sign onboarding documents, including but not limited to an SEC Attestation and Power of Attorney, copies of which are attached for advance review.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At-Will Employment</w:t>
      </w:r>
    </w:p>
    <w:p>
      <w:pPr>
        <w:spacing w:after="0" w:line="225" w:lineRule="exact"/>
        <w:rPr>
          <w:sz w:val="20"/>
          <w:szCs w:val="20"/>
          <w:color w:val="auto"/>
        </w:rPr>
      </w:pPr>
    </w:p>
    <w:p>
      <w:pPr>
        <w:jc w:val="both"/>
        <w:ind w:right="360" w:hanging="2"/>
        <w:spacing w:after="0" w:line="257" w:lineRule="auto"/>
        <w:rPr>
          <w:sz w:val="20"/>
          <w:szCs w:val="20"/>
          <w:color w:val="auto"/>
        </w:rPr>
      </w:pPr>
      <w:r>
        <w:rPr>
          <w:rFonts w:ascii="Arial" w:cs="Arial" w:eastAsia="Arial" w:hAnsi="Arial"/>
          <w:sz w:val="18"/>
          <w:szCs w:val="18"/>
          <w:color w:val="auto"/>
        </w:rPr>
        <w:t>Your employment with the Company is for no specified period and constitutes at-will employment, meaning that either you or the Company will be entitled to terminate your employment at any time and for any reason, with or without cause. Any contrary representations that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96" w:lineRule="exact"/>
        <w:rPr>
          <w:sz w:val="20"/>
          <w:szCs w:val="20"/>
          <w:color w:val="auto"/>
        </w:rPr>
      </w:pPr>
    </w:p>
    <w:p>
      <w:pPr>
        <w:jc w:val="both"/>
        <w:ind w:left="20" w:right="380" w:hanging="8"/>
        <w:spacing w:after="0" w:line="287" w:lineRule="auto"/>
        <w:rPr>
          <w:sz w:val="20"/>
          <w:szCs w:val="20"/>
          <w:color w:val="auto"/>
        </w:rPr>
      </w:pPr>
      <w:r>
        <w:rPr>
          <w:rFonts w:ascii="Arial" w:cs="Arial" w:eastAsia="Arial" w:hAnsi="Arial"/>
          <w:sz w:val="18"/>
          <w:szCs w:val="18"/>
          <w:color w:val="auto"/>
        </w:rPr>
        <w:t>As a Company employee, you are required to abide by Company rules and regulations by acknowledging in writing that you have reviewed the Company’s Employee Handbook.</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Proprietary Information</w:t>
      </w:r>
    </w:p>
    <w:p>
      <w:pPr>
        <w:spacing w:after="0" w:line="239" w:lineRule="exact"/>
        <w:rPr>
          <w:sz w:val="20"/>
          <w:szCs w:val="20"/>
          <w:color w:val="auto"/>
        </w:rPr>
      </w:pPr>
    </w:p>
    <w:p>
      <w:pPr>
        <w:jc w:val="both"/>
        <w:ind w:left="20" w:right="360" w:hanging="6"/>
        <w:spacing w:after="0" w:line="287" w:lineRule="auto"/>
        <w:rPr>
          <w:sz w:val="20"/>
          <w:szCs w:val="20"/>
          <w:color w:val="auto"/>
        </w:rPr>
      </w:pPr>
      <w:r>
        <w:rPr>
          <w:rFonts w:ascii="Arial" w:cs="Arial" w:eastAsia="Arial" w:hAnsi="Arial"/>
          <w:sz w:val="18"/>
          <w:szCs w:val="18"/>
          <w:color w:val="auto"/>
        </w:rPr>
        <w:t>You will also be required to sign the Company’s standard Confidential Information and Invention Assignment Agreement, a copy of which you received simultaneously with this offer letter.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Arbitration</w:t>
      </w:r>
    </w:p>
    <w:p>
      <w:pPr>
        <w:spacing w:after="0" w:line="2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The Company believes that arbitration offers a rapid and economical resolution of disputes that may arise in connection with your employment with the Company, and upon hire, you will be asked to sign an Arbitration Agreement wherein you and the Company agree that any and all controversies, claims, or disputes with anyone (including the Company, its affiliated entities, parents, and/or subsidiaries, and any employee, officer, director, shareholder, or benefit plan of the Company, in their capacity as such or otherwise), arising out of, relating to, or resulting from your employment with the Company or the termination of your employment with the Company shall be subject to binding arbitration per the terms of the Arbitration Agreement, to be assigned in Workday immediately upon hire.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Terms &amp; Modifications</w:t>
      </w:r>
    </w:p>
    <w:p>
      <w:pPr>
        <w:spacing w:after="0" w:line="239"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This letter, together with your Confidential Information and Invention Assignment Agreement and the Change in Control Agreement, form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via facsimile, electronic mail (including .pdf or any electronic signature complying with the U.S. federal ESIGN Act of 2000, Uniform Electronic Transactions</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3</w:t>
      </w:r>
    </w:p>
    <w:p>
      <w:pPr>
        <w:sectPr>
          <w:pgSz w:w="11900" w:h="16838" w:orient="portrait"/>
          <w:cols w:equalWidth="0" w:num="1">
            <w:col w:w="10260"/>
          </w:cols>
          <w:pgMar w:left="1300" w:top="1066" w:right="339" w:bottom="1440" w:gutter="0" w:footer="0" w:header="0"/>
        </w:sectPr>
      </w:pPr>
    </w:p>
    <w:bookmarkStart w:id="95" w:name="page96"/>
    <w:bookmarkEnd w:id="95"/>
    <w:p>
      <w:pPr>
        <w:jc w:val="both"/>
        <w:ind w:right="380"/>
        <w:spacing w:after="0" w:line="287" w:lineRule="auto"/>
        <w:rPr>
          <w:sz w:val="20"/>
          <w:szCs w:val="20"/>
          <w:color w:val="auto"/>
        </w:rPr>
      </w:pPr>
      <w:r>
        <w:rPr>
          <w:rFonts w:ascii="Arial" w:cs="Arial" w:eastAsia="Arial" w:hAnsi="Arial"/>
          <w:sz w:val="18"/>
          <w:szCs w:val="18"/>
          <w:color w:val="auto"/>
        </w:rPr>
        <w:t>Act or other applicable law) or other transmission method and shall be deemed to have been duly and validly delivered and be valid and effective for all purposes.</w:t>
      </w:r>
    </w:p>
    <w:p>
      <w:pPr>
        <w:spacing w:after="0" w:line="153" w:lineRule="exact"/>
        <w:rPr>
          <w:sz w:val="20"/>
          <w:szCs w:val="20"/>
          <w:color w:val="auto"/>
        </w:rPr>
      </w:pPr>
    </w:p>
    <w:p>
      <w:pPr>
        <w:jc w:val="both"/>
        <w:ind w:right="360" w:firstLine="14"/>
        <w:spacing w:after="0" w:line="259" w:lineRule="auto"/>
        <w:rPr>
          <w:sz w:val="20"/>
          <w:szCs w:val="20"/>
          <w:color w:val="auto"/>
        </w:rPr>
      </w:pPr>
      <w:r>
        <w:rPr>
          <w:rFonts w:ascii="Arial" w:cs="Arial" w:eastAsia="Arial" w:hAnsi="Arial"/>
          <w:sz w:val="18"/>
          <w:szCs w:val="18"/>
          <w:b w:val="1"/>
          <w:bCs w:val="1"/>
          <w:color w:val="auto"/>
        </w:rPr>
        <w:t xml:space="preserve">Deadline to Sign and Accept this Offer: </w:t>
      </w:r>
      <w:r>
        <w:rPr>
          <w:rFonts w:ascii="Arial" w:cs="Arial" w:eastAsia="Arial" w:hAnsi="Arial"/>
          <w:sz w:val="18"/>
          <w:szCs w:val="18"/>
          <w:color w:val="auto"/>
        </w:rPr>
        <w:t>To indicate your acceptance of the Company's offer, please sign and date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letter in the space provided below and return it to me by January 24, 2025. This letter, along with the Employee Handbook, sets forth the terms of your employment with the Company and supersedes any prior representations or agreements, whether written or verbal. This letter may not be modified or amended except by written agreement, signed by duly authorized officer of the Company and by you.</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This offer will expire on January 24, 2025.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look forward to your favorable reply and to a productive and enjoyable work relationship.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Lynee Luque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2743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Lynee Luque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20" w:right="700"/>
        <w:spacing w:after="0" w:line="268" w:lineRule="auto"/>
        <w:rPr>
          <w:sz w:val="20"/>
          <w:szCs w:val="20"/>
          <w:color w:val="auto"/>
        </w:rPr>
      </w:pPr>
      <w:r>
        <w:rPr>
          <w:rFonts w:ascii="Arial" w:cs="Arial" w:eastAsia="Arial" w:hAnsi="Arial"/>
          <w:sz w:val="18"/>
          <w:szCs w:val="18"/>
          <w:color w:val="auto"/>
        </w:rPr>
        <w:t>I accept the terms of my employment with NerdWallet, Inc. as set forth herein. I understand that this offer letter does not constitute a contract of employment for any specified period of time, and that either party may terminate my employment relationship at any time with or without notice.</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/s/ Jun Hyung Lee</w:t>
            </w:r>
          </w:p>
        </w:tc>
        <w:tc>
          <w:tcPr>
            <w:tcW w:w="4040" w:type="dxa"/>
            <w:vAlign w:val="bottom"/>
            <w:gridSpan w:val="2"/>
          </w:tcPr>
          <w:p>
            <w:pPr>
              <w:ind w:left="1060"/>
              <w:spacing w:after="0"/>
              <w:rPr>
                <w:sz w:val="20"/>
                <w:szCs w:val="20"/>
                <w:color w:val="auto"/>
              </w:rPr>
            </w:pPr>
            <w:r>
              <w:rPr>
                <w:rFonts w:ascii="Arial" w:cs="Arial" w:eastAsia="Arial" w:hAnsi="Arial"/>
                <w:sz w:val="18"/>
                <w:szCs w:val="18"/>
                <w:color w:val="auto"/>
              </w:rPr>
              <w:t>1/21/2025</w:t>
            </w:r>
          </w:p>
        </w:tc>
      </w:tr>
      <w:tr>
        <w:trPr>
          <w:trHeight w:val="37"/>
        </w:trPr>
        <w:tc>
          <w:tcPr>
            <w:tcW w:w="432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54"/>
        </w:trPr>
        <w:tc>
          <w:tcPr>
            <w:tcW w:w="4320" w:type="dxa"/>
            <w:vAlign w:val="bottom"/>
          </w:tcPr>
          <w:p>
            <w:pPr>
              <w:ind w:left="20"/>
              <w:spacing w:after="0"/>
              <w:rPr>
                <w:sz w:val="20"/>
                <w:szCs w:val="20"/>
                <w:color w:val="auto"/>
              </w:rPr>
            </w:pPr>
            <w:r>
              <w:rPr>
                <w:rFonts w:ascii="Arial" w:cs="Arial" w:eastAsia="Arial" w:hAnsi="Arial"/>
                <w:sz w:val="18"/>
                <w:szCs w:val="18"/>
                <w:color w:val="auto"/>
              </w:rPr>
              <w:t>Jun Hyung Lee</w:t>
            </w:r>
          </w:p>
        </w:tc>
        <w:tc>
          <w:tcPr>
            <w:tcW w:w="1040" w:type="dxa"/>
            <w:vAlign w:val="bottom"/>
          </w:tcPr>
          <w:p>
            <w:pPr>
              <w:spacing w:after="0"/>
              <w:rPr>
                <w:sz w:val="22"/>
                <w:szCs w:val="22"/>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405"/>
        </w:trPr>
        <w:tc>
          <w:tcPr>
            <w:tcW w:w="4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7"/>
        </w:trPr>
        <w:tc>
          <w:tcPr>
            <w:tcW w:w="432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3000" w:type="dxa"/>
            <w:vAlign w:val="bottom"/>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&amp; Invention Assignment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4</w:t>
      </w:r>
    </w:p>
    <w:p>
      <w:pPr>
        <w:sectPr>
          <w:pgSz w:w="11900" w:h="16838" w:orient="portrait"/>
          <w:cols w:equalWidth="0" w:num="1">
            <w:col w:w="10260"/>
          </w:cols>
          <w:pgMar w:left="1300" w:top="1079"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333-285064, No. 333-277195, No. 333-269946, No. 333-266087, No. 333-265197, and No. 333-260853 on Form S-8, Registration Statement No. 333-277193 on Form S-3, and Registration Statement No. 333-271587 on Form S-3ASR of our report dated February 25, 2026 relating to the financial statements of NerdWallet, Inc. appearing in this Annual Report on Form 10-K for the year ended December 31, 2025.</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25, 2026</w:t>
      </w:r>
    </w:p>
    <w:p>
      <w:pPr>
        <w:sectPr>
          <w:pgSz w:w="11900" w:h="16838" w:orient="portrait"/>
          <w:cols w:equalWidth="0" w:num="1">
            <w:col w:w="11240"/>
          </w:cols>
          <w:pgMar w:left="320" w:top="11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2026</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 Hyung Lee, certify that:</w:t>
      </w:r>
    </w:p>
    <w:p>
      <w:pPr>
        <w:spacing w:after="0" w:line="117"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2026</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2026</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Jun Hyung Lee,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2026</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emdash "/>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95"/>
    </w:lvl>
  </w:abstractNum>
  <w:abstractNum w:abstractNumId="33">
    <w:nsid w:val="7A6D8D3C"/>
    <w:multiLevelType w:val="hybridMultilevel"/>
    <w:lvl w:ilvl="0">
      <w:lvlJc w:val="left"/>
      <w:lvlText w:val="%1"/>
      <w:numFmt w:val="decimal"/>
      <w:start w:val="968"/>
    </w:lvl>
  </w:abstractNum>
  <w:abstractNum w:abstractNumId="34">
    <w:nsid w:val="4B588F54"/>
    <w:multiLevelType w:val="hybridMultilevel"/>
    <w:lvl w:ilvl="0">
      <w:lvlJc w:val="left"/>
      <w:lvlText w:val="(%1)"/>
      <w:numFmt w:val="decimal"/>
      <w:start w:val="150"/>
    </w:lvl>
  </w:abstractNum>
  <w:abstractNum w:abstractNumId="35">
    <w:nsid w:val="542289EC"/>
    <w:multiLevelType w:val="hybridMultilevel"/>
    <w:lvl w:ilvl="0">
      <w:lvlJc w:val="left"/>
      <w:lvlText w:val="%1"/>
      <w:numFmt w:val="decimal"/>
      <w:start w:val="159"/>
    </w:lvl>
  </w:abstractNum>
  <w:abstractNum w:abstractNumId="36">
    <w:nsid w:val="6DE91B18"/>
    <w:multiLevelType w:val="hybridMultilevel"/>
    <w:lvl w:ilvl="0">
      <w:lvlJc w:val="left"/>
      <w:lvlText w:val="(%1)"/>
      <w:numFmt w:val="decimal"/>
      <w:start w:val="324"/>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2"/>
    </w:lvl>
  </w:abstractNum>
  <w:abstractNum w:abstractNumId="41">
    <w:nsid w:val="579478FE"/>
    <w:multiLevelType w:val="hybridMultilevel"/>
    <w:lvl w:ilvl="0">
      <w:lvlJc w:val="left"/>
      <w:lvlText w:val="%1."/>
      <w:numFmt w:val="decimal"/>
      <w:start w:val="3"/>
    </w:lvl>
  </w:abstractNum>
  <w:abstractNum w:abstractNumId="42">
    <w:nsid w:val="749ABB43"/>
    <w:multiLevelType w:val="hybridMultilevel"/>
    <w:lvl w:ilvl="0">
      <w:lvlJc w:val="left"/>
      <w:lvlText w:val="%1."/>
      <w:numFmt w:val="decimal"/>
      <w:start w:val="4"/>
    </w:lvl>
  </w:abstractNum>
  <w:abstractNum w:abstractNumId="43">
    <w:nsid w:val="3DC240FB"/>
    <w:multiLevelType w:val="hybridMultilevel"/>
    <w:lvl w:ilvl="0">
      <w:lvlJc w:val="left"/>
      <w:lvlText w:val="%1."/>
      <w:numFmt w:val="decimal"/>
      <w:start w:val="5"/>
    </w:lvl>
  </w:abstractNum>
  <w:abstractNum w:abstractNumId="44">
    <w:nsid w:val="1BA026FA"/>
    <w:multiLevelType w:val="hybridMultilevel"/>
    <w:lvl w:ilvl="0">
      <w:lvlJc w:val="left"/>
      <w:lvlText w:val="%1."/>
      <w:numFmt w:val="decimal"/>
      <w:start w:val="7"/>
    </w:lvl>
  </w:abstractNum>
  <w:abstractNum w:abstractNumId="45">
    <w:nsid w:val="79A1DEAA"/>
    <w:multiLevelType w:val="hybridMultilevel"/>
    <w:lvl w:ilvl="0">
      <w:lvlJc w:val="left"/>
      <w:lvlText w:val="%1."/>
      <w:numFmt w:val="decimal"/>
      <w:start w:val="8"/>
    </w:lvl>
  </w:abstractNum>
  <w:abstractNum w:abstractNumId="46">
    <w:nsid w:val="75C6C33A"/>
    <w:multiLevelType w:val="hybridMultilevel"/>
    <w:lvl w:ilvl="0">
      <w:lvlJc w:val="left"/>
      <w:lvlText w:val="%1."/>
      <w:numFmt w:val="decimal"/>
      <w:start w:val="9"/>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jpe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172" Type="http://schemas.openxmlformats.org/officeDocument/2006/relationships/hyperlink" Target="https://www.sec.gov/Archives/edgar/data/1625278/000162527822000089/exhibit21-mergeragreement.htm" TargetMode="External"/><Relationship Id="rId173" Type="http://schemas.openxmlformats.org/officeDocument/2006/relationships/hyperlink" Target="https://www.sec.gov/Archives/edgar/data/0001625278/000162828021022618/exhibit31-closing8xk.htm" TargetMode="External"/><Relationship Id="rId174" Type="http://schemas.openxmlformats.org/officeDocument/2006/relationships/hyperlink" Target="https://www.sec.gov/Archives/edgar/data/1625278/000162527824000141/exhibit31-certificateofame.htm" TargetMode="External"/><Relationship Id="rId175" Type="http://schemas.openxmlformats.org/officeDocument/2006/relationships/hyperlink" Target="https://www.sec.gov/Archives/edgar/data/0001625278/000162828021022618/exhibit32-closing8xk.htm" TargetMode="External"/><Relationship Id="rId176" Type="http://schemas.openxmlformats.org/officeDocument/2006/relationships/hyperlink" Target="https://www.sec.gov/Archives/edgar/data/1625278/000162527822000029/exhibit41-10xkfy21.htm" TargetMode="External"/><Relationship Id="rId177" Type="http://schemas.openxmlformats.org/officeDocument/2006/relationships/hyperlink" Target="https://www.sec.gov/Archives/edgar/data/1625278/000162527824000030/exhibit108-creditagreement.htm" TargetMode="External"/><Relationship Id="rId178" Type="http://schemas.openxmlformats.org/officeDocument/2006/relationships/hyperlink" Target="https://www.sec.gov/Archives/edgar/data/1625278/000162828021020344/exhibit1017-sx1a.htm" TargetMode="External"/><Relationship Id="rId179" Type="http://schemas.openxmlformats.org/officeDocument/2006/relationships/hyperlink" Target="https://www.sec.gov/Archives/edgar/data/1625278/000162828021019876/exhibit106-sx1.htm" TargetMode="External"/><Relationship Id="rId180" Type="http://schemas.openxmlformats.org/officeDocument/2006/relationships/hyperlink" Target="https://www.sec.gov/Archives/edgar/data/1625278/000162828021019876/exhibit107-sx1.htm" TargetMode="External"/><Relationship Id="rId181" Type="http://schemas.openxmlformats.org/officeDocument/2006/relationships/hyperlink" Target="https://www.sec.gov/Archives/edgar/data/1625278/000162828021019876/exhibit108-sx1.htm" TargetMode="External"/><Relationship Id="rId182" Type="http://schemas.openxmlformats.org/officeDocument/2006/relationships/hyperlink" Target="https://www.sec.gov/Archives/edgar/data/1625278/000162527822000065/exhibit991-sx852522.htm" TargetMode="External"/><Relationship Id="rId183" Type="http://schemas.openxmlformats.org/officeDocument/2006/relationships/hyperlink" Target="https://www.sec.gov/Archives/edgar/data/0001625278/000162828021020521/exhibit1010-s1a2.htm" TargetMode="External"/><Relationship Id="rId184" Type="http://schemas.openxmlformats.org/officeDocument/2006/relationships/hyperlink" Target="https://www.sec.gov/Archives/edgar/data/0001625278/000162828021020521/exhibit1011-sx1a2.htm" TargetMode="External"/><Relationship Id="rId185" Type="http://schemas.openxmlformats.org/officeDocument/2006/relationships/hyperlink" Target="https://www.sec.gov/Archives/edgar/data/1625278/000162527823000034/exhibit101-psugrantwcoc.htm" TargetMode="External"/><Relationship Id="rId186" Type="http://schemas.openxmlformats.org/officeDocument/2006/relationships/hyperlink" Target="https://www.sec.gov/Archives/edgar/data/1625278/000162527822000107/exhibit991-nerdwalletinc20.htm" TargetMode="External"/><Relationship Id="rId189" Type="http://schemas.openxmlformats.org/officeDocument/2006/relationships/hyperlink" Target="https://www.sec.gov/Archives/edgar/data/1625278/000162527822000107/exhibit992-nerdwalletincfo.htm" TargetMode="External"/><Relationship Id="rId190" Type="http://schemas.openxmlformats.org/officeDocument/2006/relationships/hyperlink" Target="https://www.sec.gov/Archives/edgar/data/1625278/000162527822000107/exhibit993-nerdwalletincfo.htm" TargetMode="External"/><Relationship Id="rId191" Type="http://schemas.openxmlformats.org/officeDocument/2006/relationships/hyperlink" Target="https://www.sec.gov/Archives/edgar/data/0001625278/000162828021020521/exhibit1012-sx1a2.htm" TargetMode="External"/><Relationship Id="rId192" Type="http://schemas.openxmlformats.org/officeDocument/2006/relationships/hyperlink" Target="https://www.sec.gov/Archives/edgar/data/1625278/000162828021019876/exhibit1013-sx1.htm" TargetMode="External"/><Relationship Id="rId193" Type="http://schemas.openxmlformats.org/officeDocument/2006/relationships/hyperlink" Target="https://www.sec.gov/Archives/edgar/data/1625278/000162527823000034/exhibit102-changeofcontrol.htm" TargetMode="External"/><Relationship Id="rId194" Type="http://schemas.openxmlformats.org/officeDocument/2006/relationships/hyperlink" Target="https://www.sec.gov/Archives/edgar/data/1625278/000162828021019876/exhibit1021-sx1.htm" TargetMode="External"/><Relationship Id="rId195" Type="http://schemas.openxmlformats.org/officeDocument/2006/relationships/hyperlink" Target="https://www.sec.gov/Archives/edgar/data/1625278/000162828021019876/exhibit1017-sx1.htm" TargetMode="External"/><Relationship Id="rId196" Type="http://schemas.openxmlformats.org/officeDocument/2006/relationships/hyperlink" Target="https://www.sec.gov/Archives/edgar/data/1625278/000162527824000101/exhibit101-formofpsograntp.htm" TargetMode="External"/><Relationship Id="rId197" Type="http://schemas.openxmlformats.org/officeDocument/2006/relationships/hyperlink" Target="https://www.sec.gov/Archives/edgar/data/1625278/000162527824000162/exhibit101-nerdwalletjpmxs.htm" TargetMode="External"/><Relationship Id="rId198" Type="http://schemas.openxmlformats.org/officeDocument/2006/relationships/hyperlink" Target="https://www.sec.gov/Archives/edgar/data/1625278/000162527825000069/exhibit101_2025executivebo.htm" TargetMode="External"/><Relationship Id="rId199" Type="http://schemas.openxmlformats.org/officeDocument/2006/relationships/hyperlink" Target="https://www.sec.gov/Archives/edgar/data/1625278/000162527825000114/exhibit101limitedconsent.htm" TargetMode="External"/><Relationship Id="rId200" Type="http://schemas.openxmlformats.org/officeDocument/2006/relationships/hyperlink" Target="https://www.sec.gov/Archives/edgar/data/1625278/000162527825000019/exhibit191-insidertradingp.htm" TargetMode="External"/><Relationship Id="rId201" Type="http://schemas.openxmlformats.org/officeDocument/2006/relationships/hyperlink" Target="https://www.sec.gov/Archives/edgar/data/1625278/000162527822000029/exhibit211-10xkfy21.htm" TargetMode="External"/><Relationship Id="rId204" Type="http://schemas.openxmlformats.org/officeDocument/2006/relationships/hyperlink" Target="https://www.sec.gov/Archives/edgar/data/1625278/000162527824000030/exhibit971-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2026-02-25T16:20:28Z</dcterms:created>
  <dcterms:modified xsi:type="dcterms:W3CDTF">2026-02-25T16:20:28Z</dcterms:modified>
</cp:coreProperties>
</file>