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001-40994</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NerdWallet, Inc.</w:t>
      </w:r>
    </w:p>
    <w:p>
      <w:pPr>
        <w:pStyle w:val="TextBody"/>
        <w:bidi w:val="0"/>
        <w:spacing w:lineRule="auto" w:line="288" w:before="0" w:after="0"/>
        <w:jc w:val="center"/>
        <w:rPr>
          <w:rFonts w:ascii="Times New Roman;sans-serif" w:hAnsi="Times New Roman;sans-serif"/>
          <w:b w:val="false"/>
          <w:i/>
          <w:color w:val="000000"/>
          <w:sz w:val="19"/>
        </w:rPr>
      </w:pPr>
      <w:r>
        <w:rPr>
          <w:rFonts w:ascii="Times New Roman;sans-serif" w:hAnsi="Times New Roman;sans-serif"/>
          <w:b w:val="false"/>
          <w:i/>
          <w:color w:val="000000"/>
          <w:sz w:val="19"/>
        </w:rPr>
        <w:t>(Exact name of registrant as specified in its charter)</w:t>
      </w:r>
    </w:p>
    <w:tbl>
      <w:tblPr>
        <w:tblW w:w="8128" w:type="dxa"/>
        <w:jc w:val="left"/>
        <w:tblInd w:w="0" w:type="dxa"/>
        <w:tblLayout w:type="fixed"/>
        <w:tblCellMar>
          <w:top w:w="28" w:type="dxa"/>
          <w:left w:w="28" w:type="dxa"/>
          <w:bottom w:w="28" w:type="dxa"/>
          <w:right w:w="28" w:type="dxa"/>
        </w:tblCellMar>
      </w:tblPr>
      <w:tblGrid>
        <w:gridCol w:w="1848"/>
        <w:gridCol w:w="1623"/>
        <w:gridCol w:w="1643"/>
        <w:gridCol w:w="881"/>
        <w:gridCol w:w="881"/>
        <w:gridCol w:w="1252"/>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45-4180440</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i/>
                <w:color w:val="000000"/>
                <w:sz w:val="19"/>
              </w:rPr>
            </w:pPr>
            <w:r>
              <w:rPr>
                <w:rFonts w:ascii="Times New Roman;sans-serif" w:hAnsi="Times New Roman;sans-serif"/>
                <w:b w:val="false"/>
                <w:i/>
                <w:color w:val="000000"/>
                <w:sz w:val="19"/>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i/>
                <w:color w:val="000000"/>
                <w:sz w:val="19"/>
              </w:rPr>
            </w:pPr>
            <w:r>
              <w:rPr>
                <w:rFonts w:ascii="Times New Roman;sans-serif" w:hAnsi="Times New Roman;sans-serif"/>
                <w:b w:val="false"/>
                <w:i/>
                <w:color w:val="000000"/>
                <w:sz w:val="19"/>
              </w:rPr>
              <w:t>(I.R.S. Employer Identification No.)</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55 Hawthorne St., 10th Floor, San Francisco, CA 94105</w:t>
      </w:r>
    </w:p>
    <w:p>
      <w:pPr>
        <w:pStyle w:val="TextBody"/>
        <w:bidi w:val="0"/>
        <w:spacing w:lineRule="auto" w:line="288" w:before="0" w:after="0"/>
        <w:jc w:val="center"/>
        <w:rPr>
          <w:rFonts w:ascii="Times New Roman;sans-serif" w:hAnsi="Times New Roman;sans-serif"/>
          <w:b w:val="false"/>
          <w:i/>
          <w:color w:val="000000"/>
          <w:sz w:val="19"/>
        </w:rPr>
      </w:pPr>
      <w:r>
        <w:rPr>
          <w:rFonts w:ascii="Times New Roman;sans-serif" w:hAnsi="Times New Roman;sans-serif"/>
          <w:b w:val="false"/>
          <w:i/>
          <w:color w:val="000000"/>
          <w:sz w:val="19"/>
        </w:rPr>
        <w:t>(Address of principal executive offices) (Zip code)</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(415) 549-8913</w:t>
      </w:r>
    </w:p>
    <w:p>
      <w:pPr>
        <w:pStyle w:val="TextBody"/>
        <w:bidi w:val="0"/>
        <w:spacing w:lineRule="auto" w:line="288" w:before="0" w:after="60"/>
        <w:jc w:val="center"/>
        <w:rPr>
          <w:rFonts w:ascii="Times New Roman;sans-serif" w:hAnsi="Times New Roman;sans-serif"/>
          <w:b w:val="false"/>
          <w:i/>
          <w:color w:val="000000"/>
          <w:sz w:val="19"/>
        </w:rPr>
      </w:pPr>
      <w:r>
        <w:rPr>
          <w:rFonts w:ascii="Times New Roman;sans-serif" w:hAnsi="Times New Roman;sans-serif"/>
          <w:b w:val="false"/>
          <w:i/>
          <w:color w:val="000000"/>
          <w:sz w:val="19"/>
        </w:rPr>
        <w:t>(Registrant's telephone number, including area code)</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36"/>
        <w:gridCol w:w="1086"/>
        <w:gridCol w:w="1098"/>
        <w:gridCol w:w="554"/>
        <w:gridCol w:w="554"/>
        <w:gridCol w:w="556"/>
        <w:gridCol w:w="1118"/>
        <w:gridCol w:w="1118"/>
        <w:gridCol w:w="1589"/>
      </w:tblGrid>
      <w:tr>
        <w:trPr/>
        <w:tc>
          <w:tcPr>
            <w:tcW w:w="123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Class A common stock, $.0001 par value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NRDS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Nasdaq Global Market</w:t>
            </w:r>
          </w:p>
        </w:tc>
      </w:tr>
    </w:tbl>
    <w:p>
      <w:pPr>
        <w:pStyle w:val="TextBody"/>
        <w:bidi w:val="0"/>
        <w:spacing w:lineRule="auto" w:line="288" w:before="0" w:after="6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12(g) of the Act: None</w:t>
      </w:r>
    </w:p>
    <w:p>
      <w:pPr>
        <w:pStyle w:val="TextBody"/>
        <w:bidi w:val="0"/>
        <w:spacing w:lineRule="auto" w:line="288" w:before="0" w:after="60"/>
        <w:jc w:val="left"/>
        <w:rPr/>
      </w:pPr>
      <w:r>
        <w:rPr>
          <w:rFonts w:ascii="Times New Roman;sans-serif" w:hAnsi="Times New Roman;sans-serif"/>
          <w:b w:val="false"/>
          <w:color w:val="000000"/>
          <w:sz w:val="19"/>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0" w:after="60"/>
        <w:jc w:val="left"/>
        <w:rPr/>
      </w:pPr>
      <w:r>
        <w:rPr>
          <w:rFonts w:ascii="Times New Roman;sans-serif" w:hAnsi="Times New Roman;sans-serif"/>
          <w:b w:val="false"/>
          <w:color w:val="000000"/>
          <w:sz w:val="19"/>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bl>
    <w:p>
      <w:pPr>
        <w:pStyle w:val="TextBody"/>
        <w:bidi w:val="0"/>
        <w:spacing w:lineRule="auto" w:line="288" w:before="0" w:after="60"/>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jc w:val="both"/>
        <w:rPr/>
      </w:pPr>
      <w:r>
        <w:rPr>
          <w:rFonts w:ascii="Times New Roman;sans-serif" w:hAnsi="Times New Roman;sans-serif"/>
          <w:b w:val="false"/>
          <w:color w:val="000000"/>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p>
    <w:p>
      <w:pPr>
        <w:pStyle w:val="TextBody"/>
        <w:bidi w:val="0"/>
        <w:spacing w:lineRule="auto" w:line="288" w:before="0" w:after="60"/>
        <w:jc w:val="both"/>
        <w:rPr/>
      </w:pPr>
      <w:r>
        <w:rPr>
          <w:rFonts w:ascii="Times New Roman;sans-serif" w:hAnsi="Times New Roman;sans-serif"/>
          <w:b w:val="false"/>
          <w:color w:val="000000"/>
          <w:sz w:val="19"/>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bidi w:val="0"/>
        <w:spacing w:lineRule="auto" w:line="288" w:before="0" w:after="60"/>
        <w:jc w:val="both"/>
        <w:rPr/>
      </w:pPr>
      <w:r>
        <w:rPr>
          <w:rFonts w:ascii="Times New Roman;sans-serif" w:hAnsi="Times New Roman;sans-serif"/>
          <w:b w:val="false"/>
          <w:color w:val="000000"/>
          <w:sz w:val="19"/>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 </w:t>
      </w:r>
    </w:p>
    <w:p>
      <w:pPr>
        <w:pStyle w:val="TextBody"/>
        <w:bidi w:val="0"/>
        <w:spacing w:lineRule="auto" w:line="288" w:before="0" w:after="60"/>
        <w:jc w:val="left"/>
        <w:rPr/>
      </w:pPr>
      <w:r>
        <w:rPr>
          <w:rFonts w:ascii="Times New Roman;sans-serif" w:hAnsi="Times New Roman;sans-serif"/>
          <w:b w:val="false"/>
          <w:color w:val="000000"/>
          <w:sz w:val="19"/>
        </w:rPr>
        <w:t xml:space="preserve">Indicate by check mark whether the registrant is a shell company (as defined in Rule 12b-2 of the Act). Yes ☐ No </w:t>
      </w:r>
      <w:r>
        <w:rPr>
          <w:color w:val="000000"/>
        </w:rPr>
        <w:t>☒</w:t>
      </w:r>
    </w:p>
    <w:p>
      <w:pPr>
        <w:pStyle w:val="TextBody"/>
        <w:bidi w:val="0"/>
        <w:spacing w:lineRule="auto" w:line="288" w:before="0" w:after="6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As of June 30, 2024 (the last business day of the registrant’s most recently completed second fiscal quarter), the aggregate market value of the common stock held by non-affiliates of the registrant was approximately $570 million based upon the closing price of such shares on the Nasdaq Global Market on such date.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 had outstanding 42,422,181 shares of Class A common stock and 31,685,652 shares of Class B common stock as of February 14,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DOCUMENTS INCORPORATED BY REFERENCE</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Portions of the registrant’s definitive proxy statement for its 2025 Annual Meeting of Stockholders (the “Proxy Statement”), to be filed within 120 days of the registrant’s fiscal year ended December 31, 2024,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136" w:type="dxa"/>
        <w:jc w:val="center"/>
        <w:tblInd w:w="0" w:type="dxa"/>
        <w:tblLayout w:type="fixed"/>
        <w:tblCellMar>
          <w:top w:w="28" w:type="dxa"/>
          <w:left w:w="28" w:type="dxa"/>
          <w:bottom w:w="28" w:type="dxa"/>
          <w:right w:w="28" w:type="dxa"/>
        </w:tblCellMar>
      </w:tblPr>
      <w:tblGrid>
        <w:gridCol w:w="3518"/>
        <w:gridCol w:w="3098"/>
        <w:gridCol w:w="3148"/>
        <w:gridCol w:w="109"/>
        <w:gridCol w:w="109"/>
        <w:gridCol w:w="154"/>
      </w:tblGrid>
      <w:tr>
        <w:trPr/>
        <w:tc>
          <w:tcPr>
            <w:tcW w:w="351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3">
              <w:r>
                <w:rPr>
                  <w:rStyle w:val="InternetLink"/>
                  <w:rFonts w:ascii="Times New Roman;sans-serif" w:hAnsi="Times New Roman;sans-serif"/>
                  <w:b/>
                  <w:strike w:val="false"/>
                  <w:dstrike w:val="false"/>
                  <w:color w:val="000000"/>
                  <w:sz w:val="20"/>
                  <w:u w:val="none"/>
                  <w:effect w:val="none"/>
                </w:rPr>
                <w:t>Part I</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6">
              <w:r>
                <w:rPr>
                  <w:rStyle w:val="InternetLink"/>
                  <w:rFonts w:ascii="Times New Roman;sans-serif" w:hAnsi="Times New Roman;sans-serif"/>
                  <w:b w:val="false"/>
                  <w:strike w:val="false"/>
                  <w:dstrike w:val="false"/>
                  <w:color w:val="000000"/>
                  <w:sz w:val="20"/>
                  <w:u w:val="none"/>
                  <w:effect w:val="none"/>
                </w:rPr>
                <w:t>Item 1. Business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9">
              <w:r>
                <w:rPr>
                  <w:rStyle w:val="InternetLink"/>
                  <w:rFonts w:ascii="Times New Roman;sans-serif" w:hAnsi="Times New Roman;sans-serif"/>
                  <w:b w:val="false"/>
                  <w:strike w:val="false"/>
                  <w:dstrike w:val="false"/>
                  <w:color w:val="000000"/>
                  <w:sz w:val="20"/>
                  <w:u w:val="none"/>
                  <w:effect w:val="none"/>
                </w:rPr>
                <w:t>Item 1A. Risk Factors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9">
              <w:r>
                <w:rPr>
                  <w:rStyle w:val="InternetLink"/>
                  <w:rFonts w:ascii="Times New Roman;sans-serif" w:hAnsi="Times New Roman;sans-serif"/>
                  <w:b w:val="false"/>
                  <w:strike w:val="false"/>
                  <w:dstrike w:val="false"/>
                  <w:color w:val="000000"/>
                  <w:sz w:val="20"/>
                  <w:u w:val="none"/>
                  <w:effect w:val="none"/>
                </w:rPr>
                <w:t>15</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22">
              <w:r>
                <w:rPr>
                  <w:rStyle w:val="InternetLink"/>
                  <w:rFonts w:ascii="Times New Roman;sans-serif" w:hAnsi="Times New Roman;sans-serif"/>
                  <w:b w:val="false"/>
                  <w:strike w:val="false"/>
                  <w:dstrike w:val="false"/>
                  <w:color w:val="000000"/>
                  <w:sz w:val="20"/>
                  <w:u w:val="none"/>
                  <w:effect w:val="none"/>
                </w:rPr>
                <w:t>Item 1B. Unresolved Staff Comments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22">
              <w:r>
                <w:rPr>
                  <w:rStyle w:val="InternetLink"/>
                  <w:rFonts w:ascii="Times New Roman;sans-serif" w:hAnsi="Times New Roman;sans-serif"/>
                  <w:b w:val="false"/>
                  <w:strike w:val="false"/>
                  <w:dstrike w:val="false"/>
                  <w:color w:val="000000"/>
                  <w:sz w:val="20"/>
                  <w:u w:val="none"/>
                  <w:effect w:val="none"/>
                </w:rPr>
                <w:t>40</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25">
              <w:r>
                <w:rPr>
                  <w:rStyle w:val="InternetLink"/>
                  <w:rFonts w:ascii="Times New Roman;sans-serif" w:hAnsi="Times New Roman;sans-serif"/>
                  <w:b w:val="false"/>
                  <w:strike w:val="false"/>
                  <w:dstrike w:val="false"/>
                  <w:color w:val="000000"/>
                  <w:sz w:val="20"/>
                  <w:u w:val="none"/>
                  <w:effect w:val="none"/>
                </w:rPr>
                <w:t>Item 1C. Cybersecurity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25">
              <w:r>
                <w:rPr>
                  <w:rStyle w:val="InternetLink"/>
                  <w:rFonts w:ascii="Times New Roman;sans-serif" w:hAnsi="Times New Roman;sans-serif"/>
                  <w:b w:val="false"/>
                  <w:strike w:val="false"/>
                  <w:dstrike w:val="false"/>
                  <w:color w:val="000000"/>
                  <w:sz w:val="20"/>
                  <w:u w:val="none"/>
                  <w:effect w:val="none"/>
                </w:rPr>
                <w:t>40</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28">
              <w:r>
                <w:rPr>
                  <w:rStyle w:val="InternetLink"/>
                  <w:rFonts w:ascii="Times New Roman;sans-serif" w:hAnsi="Times New Roman;sans-serif"/>
                  <w:b w:val="false"/>
                  <w:strike w:val="false"/>
                  <w:dstrike w:val="false"/>
                  <w:color w:val="000000"/>
                  <w:sz w:val="20"/>
                  <w:u w:val="none"/>
                  <w:effect w:val="none"/>
                </w:rPr>
                <w:t>Item 2. Properties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28">
              <w:r>
                <w:rPr>
                  <w:rStyle w:val="InternetLink"/>
                  <w:rFonts w:ascii="Times New Roman;sans-serif" w:hAnsi="Times New Roman;sans-serif"/>
                  <w:b w:val="false"/>
                  <w:strike w:val="false"/>
                  <w:dstrike w:val="false"/>
                  <w:color w:val="000000"/>
                  <w:sz w:val="20"/>
                  <w:u w:val="none"/>
                  <w:effect w:val="none"/>
                </w:rPr>
                <w:t>41</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31">
              <w:r>
                <w:rPr>
                  <w:rStyle w:val="InternetLink"/>
                  <w:rFonts w:ascii="Times New Roman;sans-serif" w:hAnsi="Times New Roman;sans-serif"/>
                  <w:b w:val="false"/>
                  <w:strike w:val="false"/>
                  <w:dstrike w:val="false"/>
                  <w:color w:val="000000"/>
                  <w:sz w:val="20"/>
                  <w:u w:val="none"/>
                  <w:effect w:val="none"/>
                </w:rPr>
                <w:t>Item 3.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31">
              <w:r>
                <w:rPr>
                  <w:rStyle w:val="InternetLink"/>
                  <w:rFonts w:ascii="Times New Roman;sans-serif" w:hAnsi="Times New Roman;sans-serif"/>
                  <w:b w:val="false"/>
                  <w:strike w:val="false"/>
                  <w:dstrike w:val="false"/>
                  <w:color w:val="000000"/>
                  <w:sz w:val="20"/>
                  <w:u w:val="none"/>
                  <w:effect w:val="none"/>
                </w:rPr>
                <w:t>41</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34">
              <w:r>
                <w:rPr>
                  <w:rStyle w:val="InternetLink"/>
                  <w:rFonts w:ascii="Times New Roman;sans-serif" w:hAnsi="Times New Roman;sans-serif"/>
                  <w:b w:val="false"/>
                  <w:strike w:val="false"/>
                  <w:dstrike w:val="false"/>
                  <w:color w:val="000000"/>
                  <w:sz w:val="20"/>
                  <w:u w:val="none"/>
                  <w:effect w:val="none"/>
                </w:rPr>
                <w:t>Item 4. Mine Safety Disclosures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34">
              <w:r>
                <w:rPr>
                  <w:rStyle w:val="InternetLink"/>
                  <w:rFonts w:ascii="Times New Roman;sans-serif" w:hAnsi="Times New Roman;sans-serif"/>
                  <w:b w:val="false"/>
                  <w:strike w:val="false"/>
                  <w:dstrike w:val="false"/>
                  <w:color w:val="000000"/>
                  <w:sz w:val="20"/>
                  <w:u w:val="none"/>
                  <w:effect w:val="none"/>
                </w:rPr>
                <w:t>41</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37">
              <w:r>
                <w:rPr>
                  <w:rStyle w:val="InternetLink"/>
                  <w:rFonts w:ascii="Times New Roman;sans-serif" w:hAnsi="Times New Roman;sans-serif"/>
                  <w:b/>
                  <w:strike w:val="false"/>
                  <w:dstrike w:val="false"/>
                  <w:color w:val="000000"/>
                  <w:sz w:val="20"/>
                  <w:u w:val="none"/>
                  <w:effect w:val="none"/>
                </w:rPr>
                <w:t>Part II</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37">
              <w:r>
                <w:rPr>
                  <w:rStyle w:val="InternetLink"/>
                  <w:rFonts w:ascii="Times New Roman;sans-serif" w:hAnsi="Times New Roman;sans-serif"/>
                  <w:b w:val="false"/>
                  <w:strike w:val="false"/>
                  <w:dstrike w:val="false"/>
                  <w:color w:val="000000"/>
                  <w:sz w:val="20"/>
                  <w:u w:val="none"/>
                  <w:effect w:val="none"/>
                </w:rPr>
                <w:t>42</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40">
              <w:r>
                <w:rPr>
                  <w:rStyle w:val="InternetLink"/>
                  <w:rFonts w:ascii="Times New Roman;sans-serif" w:hAnsi="Times New Roman;sans-serif"/>
                  <w:b w:val="false"/>
                  <w:strike w:val="false"/>
                  <w:dstrike w:val="false"/>
                  <w:color w:val="000000"/>
                  <w:sz w:val="20"/>
                  <w:u w:val="none"/>
                  <w:effect w:val="none"/>
                </w:rPr>
                <w:t>Item 5. Market for Registrant's Common Equity, Related Stockholder Matters and Issuer Purchases of Equity Securities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40">
              <w:r>
                <w:rPr>
                  <w:rStyle w:val="InternetLink"/>
                  <w:rFonts w:ascii="Times New Roman;sans-serif" w:hAnsi="Times New Roman;sans-serif"/>
                  <w:b w:val="false"/>
                  <w:strike w:val="false"/>
                  <w:dstrike w:val="false"/>
                  <w:color w:val="000000"/>
                  <w:sz w:val="20"/>
                  <w:u w:val="none"/>
                  <w:effect w:val="none"/>
                </w:rPr>
                <w:t>42</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43">
              <w:r>
                <w:rPr>
                  <w:rStyle w:val="InternetLink"/>
                  <w:rFonts w:ascii="Times New Roman;sans-serif" w:hAnsi="Times New Roman;sans-serif"/>
                  <w:b w:val="false"/>
                  <w:strike w:val="false"/>
                  <w:dstrike w:val="false"/>
                  <w:color w:val="000000"/>
                  <w:sz w:val="20"/>
                  <w:u w:val="none"/>
                  <w:effect w:val="none"/>
                </w:rPr>
                <w:t>Item 6. [Reserved]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43">
              <w:r>
                <w:rPr>
                  <w:rStyle w:val="InternetLink"/>
                  <w:rFonts w:ascii="Times New Roman;sans-serif" w:hAnsi="Times New Roman;sans-serif"/>
                  <w:b w:val="false"/>
                  <w:strike w:val="false"/>
                  <w:dstrike w:val="false"/>
                  <w:color w:val="000000"/>
                  <w:sz w:val="20"/>
                  <w:u w:val="none"/>
                  <w:effect w:val="none"/>
                </w:rPr>
                <w:t>43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46">
              <w:r>
                <w:rPr>
                  <w:rStyle w:val="InternetLink"/>
                  <w:rFonts w:ascii="Times New Roman;sans-serif" w:hAnsi="Times New Roman;sans-serif"/>
                  <w:b w:val="false"/>
                  <w:strike w:val="false"/>
                  <w:dstrike w:val="false"/>
                  <w:color w:val="000000"/>
                  <w:sz w:val="20"/>
                  <w:u w:val="none"/>
                  <w:effect w:val="none"/>
                </w:rPr>
                <w:t>Item 7. Management's Discussion and Analysis of Financial Condition and Results of Operations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46">
              <w:r>
                <w:rPr>
                  <w:rStyle w:val="InternetLink"/>
                  <w:rFonts w:ascii="Times New Roman;sans-serif" w:hAnsi="Times New Roman;sans-serif"/>
                  <w:b w:val="false"/>
                  <w:strike w:val="false"/>
                  <w:dstrike w:val="false"/>
                  <w:color w:val="000000"/>
                  <w:sz w:val="20"/>
                  <w:u w:val="none"/>
                  <w:effect w:val="none"/>
                </w:rPr>
                <w:t>44</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82">
              <w:r>
                <w:rPr>
                  <w:rStyle w:val="InternetLink"/>
                  <w:rFonts w:ascii="Times New Roman;sans-serif" w:hAnsi="Times New Roman;sans-serif"/>
                  <w:b w:val="false"/>
                  <w:strike w:val="false"/>
                  <w:dstrike w:val="false"/>
                  <w:color w:val="000000"/>
                  <w:sz w:val="20"/>
                  <w:u w:val="none"/>
                  <w:effect w:val="none"/>
                </w:rPr>
                <w:t>Item 7A. Quantitative and Qualitative Disclosures About Market Risk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82">
              <w:r>
                <w:rPr>
                  <w:rStyle w:val="InternetLink"/>
                  <w:rFonts w:ascii="Times New Roman;sans-serif" w:hAnsi="Times New Roman;sans-serif"/>
                  <w:b w:val="false"/>
                  <w:strike w:val="false"/>
                  <w:dstrike w:val="false"/>
                  <w:color w:val="000000"/>
                  <w:sz w:val="20"/>
                  <w:u w:val="none"/>
                  <w:effect w:val="none"/>
                </w:rPr>
                <w:t>59</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85">
              <w:r>
                <w:rPr>
                  <w:rStyle w:val="InternetLink"/>
                  <w:rFonts w:ascii="Times New Roman;sans-serif" w:hAnsi="Times New Roman;sans-serif"/>
                  <w:b w:val="false"/>
                  <w:strike w:val="false"/>
                  <w:dstrike w:val="false"/>
                  <w:color w:val="000000"/>
                  <w:sz w:val="20"/>
                  <w:u w:val="none"/>
                  <w:effect w:val="none"/>
                </w:rPr>
                <w:t xml:space="preserve">Item 8. Financial Statements and Supplementary Data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85">
              <w:r>
                <w:rPr>
                  <w:rStyle w:val="InternetLink"/>
                  <w:rFonts w:ascii="Times New Roman;sans-serif" w:hAnsi="Times New Roman;sans-serif"/>
                  <w:b w:val="false"/>
                  <w:strike w:val="false"/>
                  <w:dstrike w:val="false"/>
                  <w:color w:val="000000"/>
                  <w:sz w:val="20"/>
                  <w:u w:val="none"/>
                  <w:effect w:val="none"/>
                </w:rPr>
                <w:t>60</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157">
              <w:r>
                <w:rPr>
                  <w:rStyle w:val="InternetLink"/>
                  <w:rFonts w:ascii="Times New Roman;sans-serif" w:hAnsi="Times New Roman;sans-serif"/>
                  <w:b w:val="false"/>
                  <w:strike w:val="false"/>
                  <w:dstrike w:val="false"/>
                  <w:color w:val="000000"/>
                  <w:sz w:val="20"/>
                  <w:u w:val="none"/>
                  <w:effect w:val="none"/>
                </w:rPr>
                <w:t>Item 9. Changes in and Disagreements With Accountants on Accounting and Financial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57">
              <w:r>
                <w:rPr>
                  <w:rStyle w:val="InternetLink"/>
                  <w:rFonts w:ascii="Times New Roman;sans-serif" w:hAnsi="Times New Roman;sans-serif"/>
                  <w:b w:val="false"/>
                  <w:strike w:val="false"/>
                  <w:dstrike w:val="false"/>
                  <w:color w:val="000000"/>
                  <w:sz w:val="20"/>
                  <w:u w:val="none"/>
                  <w:effect w:val="none"/>
                </w:rPr>
                <w:t>92</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60">
              <w:r>
                <w:rPr>
                  <w:rStyle w:val="InternetLink"/>
                  <w:rFonts w:ascii="Times New Roman;sans-serif" w:hAnsi="Times New Roman;sans-serif"/>
                  <w:b w:val="false"/>
                  <w:strike w:val="false"/>
                  <w:dstrike w:val="false"/>
                  <w:color w:val="000000"/>
                  <w:sz w:val="20"/>
                  <w:u w:val="none"/>
                  <w:effect w:val="none"/>
                </w:rPr>
                <w:t>Item 9A. Controls and Procedures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60">
              <w:r>
                <w:rPr>
                  <w:rStyle w:val="InternetLink"/>
                  <w:rFonts w:ascii="Times New Roman;sans-serif" w:hAnsi="Times New Roman;sans-serif"/>
                  <w:b w:val="false"/>
                  <w:strike w:val="false"/>
                  <w:dstrike w:val="false"/>
                  <w:color w:val="000000"/>
                  <w:sz w:val="20"/>
                  <w:u w:val="none"/>
                  <w:effect w:val="none"/>
                </w:rPr>
                <w:t>92</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63">
              <w:r>
                <w:rPr>
                  <w:rStyle w:val="InternetLink"/>
                  <w:rFonts w:ascii="Times New Roman;sans-serif" w:hAnsi="Times New Roman;sans-serif"/>
                  <w:b w:val="false"/>
                  <w:strike w:val="false"/>
                  <w:dstrike w:val="false"/>
                  <w:color w:val="000000"/>
                  <w:sz w:val="20"/>
                  <w:u w:val="none"/>
                  <w:effect w:val="none"/>
                </w:rPr>
                <w:t>Item 9B.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63">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169">
              <w:r>
                <w:rPr>
                  <w:rStyle w:val="InternetLink"/>
                  <w:rFonts w:ascii="Times New Roman;sans-serif" w:hAnsi="Times New Roman;sans-serif"/>
                  <w:b w:val="false"/>
                  <w:strike w:val="false"/>
                  <w:dstrike w:val="false"/>
                  <w:color w:val="000000"/>
                  <w:sz w:val="20"/>
                  <w:u w:val="none"/>
                  <w:effect w:val="none"/>
                </w:rPr>
                <w:t>Item 9C. Disclosure Regarding Foreign Jurisdictions that Prevent Inspections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69">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72">
              <w:r>
                <w:rPr>
                  <w:rStyle w:val="InternetLink"/>
                  <w:rFonts w:ascii="Times New Roman;sans-serif" w:hAnsi="Times New Roman;sans-serif"/>
                  <w:b/>
                  <w:strike w:val="false"/>
                  <w:dstrike w:val="false"/>
                  <w:color w:val="000000"/>
                  <w:sz w:val="20"/>
                  <w:u w:val="none"/>
                  <w:effect w:val="none"/>
                </w:rPr>
                <w:t>Part III</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72">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75">
              <w:r>
                <w:rPr>
                  <w:rStyle w:val="InternetLink"/>
                  <w:rFonts w:ascii="Times New Roman;sans-serif" w:hAnsi="Times New Roman;sans-serif"/>
                  <w:b w:val="false"/>
                  <w:strike w:val="false"/>
                  <w:dstrike w:val="false"/>
                  <w:color w:val="000000"/>
                  <w:sz w:val="20"/>
                  <w:u w:val="none"/>
                  <w:effect w:val="none"/>
                </w:rPr>
                <w:t>Item 10. Directors, Executive Officers and Corporate Governance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75">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78">
              <w:r>
                <w:rPr>
                  <w:rStyle w:val="InternetLink"/>
                  <w:rFonts w:ascii="Times New Roman;sans-serif" w:hAnsi="Times New Roman;sans-serif"/>
                  <w:b w:val="false"/>
                  <w:strike w:val="false"/>
                  <w:dstrike w:val="false"/>
                  <w:color w:val="000000"/>
                  <w:sz w:val="20"/>
                  <w:u w:val="none"/>
                  <w:effect w:val="none"/>
                </w:rPr>
                <w:t>Item 11. Executive Compensation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78">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181">
              <w:r>
                <w:rPr>
                  <w:rStyle w:val="InternetLink"/>
                  <w:rFonts w:ascii="Times New Roman;sans-serif" w:hAnsi="Times New Roman;sans-serif"/>
                  <w:b w:val="false"/>
                  <w:strike w:val="false"/>
                  <w:dstrike w:val="false"/>
                  <w:color w:val="000000"/>
                  <w:sz w:val="20"/>
                  <w:u w:val="none"/>
                  <w:effect w:val="none"/>
                </w:rPr>
                <w:t>Item 12. Security Ownership of Certain Beneficial Owners and Management and Related Stockholder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81">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84">
              <w:r>
                <w:rPr>
                  <w:rStyle w:val="InternetLink"/>
                  <w:rFonts w:ascii="Times New Roman;sans-serif" w:hAnsi="Times New Roman;sans-serif"/>
                  <w:b w:val="false"/>
                  <w:strike w:val="false"/>
                  <w:dstrike w:val="false"/>
                  <w:color w:val="000000"/>
                  <w:sz w:val="20"/>
                  <w:u w:val="none"/>
                  <w:effect w:val="none"/>
                </w:rPr>
                <w:t>Item 13. Certain Relationships and Related Transactions, and 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84">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187">
              <w:r>
                <w:rPr>
                  <w:rStyle w:val="InternetLink"/>
                  <w:rFonts w:ascii="Times New Roman;sans-serif" w:hAnsi="Times New Roman;sans-serif"/>
                  <w:b w:val="false"/>
                  <w:strike w:val="false"/>
                  <w:dstrike w:val="false"/>
                  <w:color w:val="000000"/>
                  <w:sz w:val="20"/>
                  <w:u w:val="none"/>
                  <w:effect w:val="none"/>
                </w:rPr>
                <w:t>Item 14. Principal Accountant Fees and Services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87">
              <w:r>
                <w:rPr>
                  <w:rStyle w:val="InternetLink"/>
                  <w:rFonts w:ascii="Times New Roman;sans-serif" w:hAnsi="Times New Roman;sans-serif"/>
                  <w:b w:val="false"/>
                  <w:strike w:val="false"/>
                  <w:dstrike w:val="false"/>
                  <w:color w:val="000000"/>
                  <w:sz w:val="20"/>
                  <w:u w:val="none"/>
                  <w:effect w:val="none"/>
                </w:rPr>
                <w:t>93</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90">
              <w:r>
                <w:rPr>
                  <w:rStyle w:val="InternetLink"/>
                  <w:rFonts w:ascii="Times New Roman;sans-serif" w:hAnsi="Times New Roman;sans-serif"/>
                  <w:b/>
                  <w:strike w:val="false"/>
                  <w:dstrike w:val="false"/>
                  <w:color w:val="000000"/>
                  <w:sz w:val="20"/>
                  <w:u w:val="none"/>
                  <w:effect w:val="none"/>
                </w:rPr>
                <w:t>Part IV</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90">
              <w:r>
                <w:rPr>
                  <w:rStyle w:val="InternetLink"/>
                  <w:rFonts w:ascii="Times New Roman;sans-serif" w:hAnsi="Times New Roman;sans-serif"/>
                  <w:b w:val="false"/>
                  <w:strike w:val="false"/>
                  <w:dstrike w:val="false"/>
                  <w:color w:val="000000"/>
                  <w:sz w:val="20"/>
                  <w:u w:val="none"/>
                  <w:effect w:val="none"/>
                </w:rPr>
                <w:t>94</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both"/>
              <w:rPr/>
            </w:pPr>
            <w:hyperlink w:anchor="ief073f9aeeec489782e913f24058c024_193">
              <w:r>
                <w:rPr>
                  <w:rStyle w:val="InternetLink"/>
                  <w:rFonts w:ascii="Times New Roman;sans-serif" w:hAnsi="Times New Roman;sans-serif"/>
                  <w:b w:val="false"/>
                  <w:strike w:val="false"/>
                  <w:dstrike w:val="false"/>
                  <w:color w:val="000000"/>
                  <w:sz w:val="20"/>
                  <w:u w:val="none"/>
                  <w:effect w:val="none"/>
                </w:rPr>
                <w:t>Item 15. Exhibits and Financial Statement Schedules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93">
              <w:r>
                <w:rPr>
                  <w:rStyle w:val="InternetLink"/>
                  <w:rFonts w:ascii="Times New Roman;sans-serif" w:hAnsi="Times New Roman;sans-serif"/>
                  <w:b w:val="false"/>
                  <w:strike w:val="false"/>
                  <w:dstrike w:val="false"/>
                  <w:color w:val="000000"/>
                  <w:sz w:val="20"/>
                  <w:u w:val="none"/>
                  <w:effect w:val="none"/>
                </w:rPr>
                <w:t>94</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96">
              <w:r>
                <w:rPr>
                  <w:rStyle w:val="InternetLink"/>
                  <w:rFonts w:ascii="Times New Roman;sans-serif" w:hAnsi="Times New Roman;sans-serif"/>
                  <w:b w:val="false"/>
                  <w:strike w:val="false"/>
                  <w:dstrike w:val="false"/>
                  <w:color w:val="000000"/>
                  <w:sz w:val="20"/>
                  <w:u w:val="none"/>
                  <w:effect w:val="none"/>
                </w:rPr>
                <w:t>Item 16. Form 10-K Summary </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96">
              <w:r>
                <w:rPr>
                  <w:rStyle w:val="InternetLink"/>
                  <w:rFonts w:ascii="Times New Roman;sans-serif" w:hAnsi="Times New Roman;sans-serif"/>
                  <w:b w:val="false"/>
                  <w:strike w:val="false"/>
                  <w:dstrike w:val="false"/>
                  <w:color w:val="000000"/>
                  <w:sz w:val="20"/>
                  <w:u w:val="none"/>
                  <w:effect w:val="none"/>
                </w:rPr>
                <w:t>96</w:t>
              </w:r>
            </w:hyperlink>
          </w:p>
        </w:tc>
      </w:tr>
      <w:tr>
        <w:trPr/>
        <w:tc>
          <w:tcPr>
            <w:tcW w:w="976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f073f9aeeec489782e913f24058c024_199">
              <w:r>
                <w:rPr>
                  <w:rStyle w:val="InternetLink"/>
                  <w:rFonts w:ascii="Times New Roman;sans-serif" w:hAnsi="Times New Roman;sans-serif"/>
                  <w:b w:val="false"/>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f073f9aeeec489782e913f24058c024_199">
              <w:r>
                <w:rPr>
                  <w:rStyle w:val="InternetLink"/>
                  <w:rFonts w:ascii="Times New Roman;sans-serif" w:hAnsi="Times New Roman;sans-serif"/>
                  <w:b w:val="false"/>
                  <w:strike w:val="false"/>
                  <w:dstrike w:val="false"/>
                  <w:color w:val="000000"/>
                  <w:sz w:val="20"/>
                  <w:u w:val="none"/>
                  <w:effect w:val="non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about us and our industry that involve significant risks and uncertainties. Except for statements of historical facts, all statements contained in this Annual Report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macroeconomic developments, including inflation, interest rates, credit market conditions and overall economic uncertainty on our business, operating results, financial condition, and stock price;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expectations regarding our future financial and operational performance, including total revenue, cost of revenue, non-GAAP operating income (loss) and adjusted EBITDA;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grow traffic and user engagement on our platform; </w:t>
      </w:r>
    </w:p>
    <w:p>
      <w:pPr>
        <w:pStyle w:val="TextBody"/>
        <w:bidi w:val="0"/>
        <w:spacing w:lineRule="auto" w:line="288" w:before="0" w:after="180"/>
        <w:ind w:left="0" w:right="0" w:firstLine="360"/>
        <w:jc w:val="both"/>
        <w:rPr/>
      </w:pPr>
      <w:r>
        <w:rPr>
          <w:color w:val="000000"/>
        </w:rPr>
        <w:t>•</w:t>
      </w:r>
      <w:r>
        <w:rPr>
          <w:rFonts w:ascii="Times New Roman;sans-serif" w:hAnsi="Times New Roman;sans-serif"/>
          <w:b w:val="false"/>
          <w:color w:val="000000"/>
          <w:sz w:val="20"/>
        </w:rPr>
        <w:t>expected returns on marketing investments and brand campaigns;</w:t>
      </w:r>
    </w:p>
    <w:p>
      <w:pPr>
        <w:pStyle w:val="TextBody"/>
        <w:bidi w:val="0"/>
        <w:spacing w:lineRule="auto" w:line="288" w:before="0" w:after="180"/>
        <w:ind w:left="0" w:right="0" w:firstLine="360"/>
        <w:jc w:val="both"/>
        <w:rPr/>
      </w:pPr>
      <w:r>
        <w:rPr>
          <w:color w:val="000000"/>
        </w:rPr>
        <w:t>•</w:t>
      </w:r>
      <w:r>
        <w:rPr>
          <w:rFonts w:ascii="Times New Roman;sans-serif" w:hAnsi="Times New Roman;sans-serif"/>
          <w:b w:val="false"/>
          <w:color w:val="000000"/>
          <w:sz w:val="20"/>
        </w:rPr>
        <w:t>consumer demand for the products on our platform;</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increase user registrations and improve repeat usage rates;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conversion of consumers into matches with financial services partners;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expansion within existing and new verticals;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geographic expansion;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maintaining and expanding relationships with financial services partners and identifying new financial services partners;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developing efficient and scalable technical capabilities to provide personalized guidance and engage users;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enhancing brand awareness and consumer trust;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producing high quality, engaging consumer resources;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adapting to the evolving financial interests of consumers;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competing effectively in existing and new markets;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maintaining the security and availability of our platform;</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protecting and enhancing our intellectual property portfolio;</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attracting and retaining highly skilled, diverse talent;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complying with laws and regulations that currently apply or may apply in the future to our business;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adequacy of our cash, cash equivalents, and investments to meet liquidity needs;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managing growth, scaling infrastructure, and preserving our corporate culture;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identifying, executing, and integrating acquisitions successfully;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achieving expected synergies, accretive value, and other benefits from completed acquisitions.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should not be relied upon as predictions or guarantees of future events. They are based on our current expectations, estimates, and projections regarding future events and trends that may affect our business, financial condition, and operating results. However, these expectations are subject to various risks, uncertainties, and assumptions, including those described in the section titled “Risk Factors” and elsewhere in this Annual Report.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highly competitive and rapidly evolving, and new risks and uncertainties may arise that we cannot predict. As a result, actual results, events, or circumstances may differ materially from those reflected in our forward-looking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Annual Report speak only as of the date hereof. We undertake no obligation to update any such statements to reflect subsequent events, new information, or unexpected developments, except as required by law. These statements also do not account for potential impacts from future acquisitions, mergers, dispositions, joint ventures, or investments.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statements that include “we believe” or similar expressions represent our beliefs and opinions as of the date of this Annual Report.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these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120"/>
        <w:jc w:val="center"/>
        <w:rPr>
          <w:rFonts w:ascii="Times New Roman;sans-serif" w:hAnsi="Times New Roman;sans-serif"/>
          <w:b/>
          <w:color w:val="000000"/>
          <w:sz w:val="24"/>
        </w:rPr>
      </w:pPr>
      <w:r>
        <w:rPr>
          <w:rFonts w:ascii="Times New Roman;sans-serif" w:hAnsi="Times New Roman;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NerdWallet provides trustworthy financial guidance to consumers and small and mid-sized businesses (SMBs).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clarity for all of life’s financial decisions.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vision is a world where everyone makes financial decisions with confidence.</w:t>
      </w:r>
      <w:r>
        <w:rPr>
          <w:color w:val="000000"/>
        </w:rPr>
        <w:t xml:space="preserv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NerdWallet, we empower consumers—both individuals and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United Kingdom (UK), Canadian, and, more recently, Australian markets, with further international expansion as an opportunity for future growth. Across every touchpoint, the cornerstone of our platform is our consumers’ trust in the independent, objective and relevant guidance we provide, free of charge.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consumers—consumers who might not otherwise trust these financial services providers’ recommendations because their guidance is inherently biased toward their own products.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By operating at the intersection of consumers and financial services providers, NerdWallet drives value for both. Through our platform, our financial services partners can reach a substantial audience with millions of consumers and SMBs visiting every month. After doing research on our platform, these consumers are better informed about the financial decision they’re about to make and often primed and ready to transact. When consumers are more informed about their financial options, they make the appropriate decisions for their needs with confidence, increasing their lifetime value to financial services providers as customers. We have also received feedback from our financial services partners that </w:t>
      </w:r>
      <w:r>
        <w:rPr>
          <w:rFonts w:ascii="Times New Roman;sans-serif" w:hAnsi="Times New Roman;sans-serif"/>
          <w:b w:val="false"/>
          <w:color w:val="000000"/>
          <w:sz w:val="20"/>
          <w:shd w:fill="FFFFFF" w:val="clear"/>
        </w:rPr>
        <w:t>our users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approval rates can be significantly higher than those applying through other channels.</w:t>
      </w:r>
      <w:r>
        <w:rPr>
          <w:color w:val="000000"/>
        </w:rPr>
        <w:t xml:space="preserve"> </w:t>
      </w:r>
      <w:r>
        <w:rPr>
          <w:rFonts w:ascii="Times New Roman;sans-serif" w:hAnsi="Times New Roman;sans-serif"/>
          <w:b w:val="false"/>
          <w:color w:val="000000"/>
          <w:sz w:val="20"/>
        </w:rPr>
        <w:t xml:space="preserve">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2009, NerdWallet has strived to provide consumers with clarity for all of their financial decisions: cutting through jargon, parsing terms and conditions, and simplifying complex ideas so consumers can make informed choices about their money and pursue lives well-spent. As a mission-driven, consumer-first company, we have long had a company culture oriented towards being responsible and socially conscious. In 2024, we published our annual Environmental, Social and Governance (ESG) report, outlining our corporate social responsibility programs, diversity, equity, and inclusion efforts, and our environmental and sustainability strategy and emissions.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was $687.6 million and $599.4 million for 2024 and 2023, respectively, representing year-over-year growth of 15%. We generated net income of $30.4 million for 2024, as compared to a net loss of $11.8 million for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Acquisition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expanded our presence in the mortgage space with the acquisition of Next Door Lending LLC (NDL), a mortgage brokerage specializing in home purchase and refinancing solutions. NDL provides a wide range of loan products, including conventional, Fair Housing Authority (FHA), Department of Veterans Affairs (VA), and U.S. Department of Agriculture (USDA) home loans, designed to meet the diverse financial needs of borrowers.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mortgage broker, NDL focuses on personalized loan matching, helping clients navigate home financing options by evaluating creditworthiness and offering tailored guidance on loan structures. Borrowers can choose from fixed and adjustable-rate mortgages based on their financial goals.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NDL, we connect consumers with wholesale mortgage lenders, providing competitive rates and flexible terms. As of December 31, 2024, NDL is licensed to operate in 25 states, further strengthening our ability to serve homebuyers and homeowners nationwide.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Industry Trends in Our Favor</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Many trends are transforming the way consumers and SMBs manage their finances and several of these trends accelerated in 2020 during the COVID-19 pandemic, creating tailwinds in our historical businesses.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Consumers Manage Their Lives Digitally, and Financial Wellness is at the Forefront of This Change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Increasingly, consumers use a digital-first approach to managing their lives: They manage appointments, book vacations, plan events and shop using apps. During the past several years, this digital-first approach has also permeated personal finance with consumers expecting to have the ability to manage all aspects of their financial wellness online. To meet this consumer demand, traditional financial services providers have established digital interfaces and are continually adding new functionality. At the same time, successful fintech companies are proliferating and setting new standards for digital experiences. These new players are responding to changing consumer expectations by disrupting nearly every aspect of personal finance and offering a wide range of faster, better and cheaper digital services, continually altering the competitive landscape. By focusing on distinct personal financial products, fintech companies have unbundled personal finance and have provided value that conventional financial services providers cannot, often improving and expanding consumers’ choices and therefore, overall financial wellness.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Consumers Are Inundated With Choice and Complexity, but Unbiased Financial Guidance is Difficult to Find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digital access and an increasing number of fintech companies are making it easier to invest, make payments and even take out a loan, the explosion of market participants also makes it increasingly difficult and time consuming for consumers to sift through all of the options to determine which product is best suited to their personal financial needs.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products and services are complex and consumers are seeking ways to compare and better understand their options. Many consumers do not have a trusted financial advisor to help them navigate this complexity and instead seek advice online. Unfortunately, finding trustworthy financial guidance online can be challenging. Fees are not always transparent, there is not a standard route to achieve financial literacy and creative marketing can leave consumers feeling overwhelmed.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Consumers Want to Know They’ve Made the Right Choice in Their Financial Lives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Consumers want to take control of their financial well-being, ensure they’re getting the right deal, understand exactly what they’re signing up for and have confidence in their decisions. This desire to understand and feel well-informed about finances is prevalent across all generations. A 2024 Experian study revealed that 66% of consumers said they'd like to expand their knowledge of credit and personal finance, with even higher percentages among Gen Z (80%) and Millennials (79%).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Platform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an award-winning editorial team that functions as the “brains” behind our guidance. Our writers and editors, many of whom have joined us from notable publications, cover specific verticals day in and day out, and, as a result, are deeply knowledgeable about the financial areas they cover, producing high-quality guidance. The work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 which help us advance toward being a trusted financial ecosystem, a single platform consumers and SMBs rely on to learn about various financial topics, shop for products, connect their data and receive data-driven nudges.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trusted guidance has enabled us to build a large, well-informed audience, many of whom are ready to transact. Accordingly, we have become an attractive partner for financial services providers wanting to reach these high-value consumers. Today, our platform stretches across many financial products, including credit cards, mortgages, insurance, SMB products, personal loans, banking, investing and student loans.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built NerdWallet with the following key assumptions: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Everything starts with trust;</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Consumers have an unmet need for unbiased guidance to inform their financial decisions;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There is a compelling opportunity to use data to personalize and automate guidance at scale.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Starting with these assumptions, we offer the following benefits to consumers and to our financial services partners.</w:t>
      </w:r>
    </w:p>
    <w:p>
      <w:pPr>
        <w:pStyle w:val="TextBody"/>
        <w:bidi w:val="0"/>
        <w:spacing w:lineRule="auto" w:line="288" w:before="0" w:after="180"/>
        <w:jc w:val="left"/>
        <w:rPr/>
      </w:pPr>
      <w:r>
        <w:rPr>
          <w:rFonts w:ascii="Times New Roman;sans-serif" w:hAnsi="Times New Roman;sans-serif"/>
          <w:b w:val="false"/>
          <w:i/>
          <w:color w:val="000000"/>
          <w:sz w:val="20"/>
        </w:rPr>
        <w:t>Benefits of Our Platform for Consumers and SMBs</w:t>
      </w:r>
      <w:r>
        <w:rPr>
          <w:color w:val="000000"/>
        </w:rPr>
        <w:t xml:space="preserve">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is designed to empower consumers and SMBs to gain clarity about their financial decisions, help them make optimal decisions and instill them with a sense of confidence in their choices. We accomplish this by: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Providing Comprehensive Guidance with an Independent, Unbiased Editorial Team. </w:t>
      </w:r>
      <w:r>
        <w:rPr>
          <w:rFonts w:ascii="Times New Roman;sans-serif" w:hAnsi="Times New Roman;sans-serif"/>
          <w:b w:val="false"/>
          <w:color w:val="000000"/>
          <w:sz w:val="20"/>
        </w:rPr>
        <w:t xml:space="preserve">We build trust by offering guidance that is credible, consistent and grounded in our consumer-first values. We establish credibility with financial product reviews and content that cover a myriad of topics, developed by our editorial team which is not influenced by monetization. One of our core values is “Consumer, Company, Team, Self.” Consistent with that value, we uphold rigorous editorial standards, and all of our articles, reviews and recommendations are written by our independent editorial team. The value of our brand and long-term relationships with consumers are more important to us than any short-term benefit we may derive from any transaction conducted on our platform. We believe that the result of this approach is the direct, ongoing, trusted relationship we have with our users.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Using Simplicity and Transparency to Enable Well-Informed Decisions. </w:t>
      </w:r>
      <w:r>
        <w:rPr>
          <w:rFonts w:ascii="Times New Roman;sans-serif" w:hAnsi="Times New Roman;sans-serif"/>
          <w:b w:val="false"/>
          <w:color w:val="000000"/>
          <w:sz w:val="20"/>
        </w:rPr>
        <w:t>We write our articles to appeal to everyone, ranging from the casual reader to someone looking to understand more complex details on a topic. Regardless of the consumer need, we bring a level of clarity to help consumers make sense of even the most complex financial topics. Our content is delivered in a variety of digestible formats, and our comparisons provide transparency on both price and features, given that a particular financial product may appeal to different consumers for different reasons. For example, while some consumers may be looking for the lowest interest rate on a credit card, others may never plan to carry a balance and instead may be looking for the best cash back or rewards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Acting as a Trusted Guide and Navigator, Providing Personalized Guidance. </w:t>
      </w:r>
      <w:r>
        <w:rPr>
          <w:rFonts w:ascii="Times New Roman;sans-serif" w:hAnsi="Times New Roman;sans-serif"/>
          <w:b w:val="false"/>
          <w:color w:val="000000"/>
          <w:sz w:val="20"/>
        </w:rPr>
        <w:t xml:space="preserve">Democratizing access to financial guidance is only half of our vision; the other half is to make it frictionless for consumers to make financial decisions. We built our platform to appeal both to consumers looking to “do it themselves” and those looking for more support managing their financial well-being. We make it easy for our registered users to stay on top of their money by centralizing many of their product decisions in one place. A registered user is defined as an individual who has created an account on the NerdWallet platform, and is a standalone metric calculated independently from whether an individual accesses our platform in a given period. Consumers can get a holistic view of their finances, and home in on specific details about their spending and saving patterns across accounts. By combining insights from our award-winning editorial team with our machine learning capabilities, we are able to recommend smart money moves via contextual “nudges.” As a result, we have become a one-stop-shop for consumers to track, manage and plan their financial futures.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Providing Comprehensive Coverage Across Major Financial Verticals. </w:t>
      </w:r>
      <w:r>
        <w:rPr>
          <w:rFonts w:ascii="Times New Roman;sans-serif" w:hAnsi="Times New Roman;sans-serif"/>
          <w:b w:val="false"/>
          <w:color w:val="000000"/>
          <w:sz w:val="20"/>
        </w:rPr>
        <w:t>Today, we</w:t>
      </w:r>
      <w:r>
        <w:rPr>
          <w:color w:val="000000"/>
        </w:rPr>
        <w:t xml:space="preserve"> </w:t>
      </w:r>
      <w:r>
        <w:rPr>
          <w:rFonts w:ascii="Times New Roman;sans-serif" w:hAnsi="Times New Roman;sans-serif"/>
          <w:b w:val="false"/>
          <w:color w:val="000000"/>
          <w:sz w:val="20"/>
        </w:rPr>
        <w:t xml:space="preserve">have financial services partners in a variety of financial verticals, including credit cards, mortgages, insurance, SMB products, personal loans, banking, investing and student loans. We partner with hundreds of organizations, ranging from the largest financial services providers to the most disruptive startups. This comprehensive coverage shows consumers who may be seeking guidance in one area, such as credit cards, the expertise that we provide in other relevant verticals like renters insurance and deposit accounts. Our guidance, however, is not limited to areas with existing partner relationships or those that we monetize. We quickly adapt to the evolving financial interests of consumers and can easily add coverage in new areas. Throughout 2024, our Content Nerds reinforced trust by helping consumers make informed financial decisions across a variety of areas, including budgeting and spending in an inflationary environment; finding insurance coverage in a complex marketplace; and navigating the current interest rate landscape, as well as volatility in student loan forbearance and repayment.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Benefits of Our Platform for Our Partners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We bring our financial services partners well-matched and well-informed consumers. These consumers also frequently have desirable characteristics—they have higher credit scores and maintain higher levels of investable assets—making them highly attractive for our financial services partners. We have received feedback from financial services partners that </w:t>
      </w:r>
      <w:r>
        <w:rPr>
          <w:rFonts w:ascii="Times New Roman;sans-serif" w:hAnsi="Times New Roman;sans-serif"/>
          <w:b w:val="false"/>
          <w:color w:val="000000"/>
          <w:sz w:val="20"/>
          <w:shd w:fill="FFFFFF" w:val="clear"/>
        </w:rPr>
        <w:t>our users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approval rates can be significantly higher than those applying through other channels</w:t>
      </w:r>
      <w:r>
        <w:rPr>
          <w:rFonts w:ascii="Times New Roman;sans-serif" w:hAnsi="Times New Roman;sans-serif"/>
          <w:b w:val="false"/>
          <w:color w:val="000000"/>
          <w:sz w:val="20"/>
        </w:rPr>
        <w:t>. Benefits that we provide to our financial services partners include: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Huge Audience and Reach. </w:t>
      </w:r>
      <w:r>
        <w:rPr>
          <w:rFonts w:ascii="Times New Roman;sans-serif" w:hAnsi="Times New Roman;sans-serif"/>
          <w:b w:val="false"/>
          <w:color w:val="000000"/>
          <w:sz w:val="20"/>
        </w:rPr>
        <w:t>We reach millions of consumers and SMBs a year. We also over-index on attracting consumers with high credit scores who are inundated with choices and seek an independent third party to help them find the right product for their distinct needs. These individuals receive many offers for financial products because they are often the most attractive customers for financial services providers as they tend to drive long-term value. We believe we drive strong conversion both on and off our platform. For example, tracking tests with our financial partners in our credit cards vertical have shown that on average, for every transaction that happens through NerdWallet, one or more additional transactions with a user occur with the partner as a result of the user previously engaging with our platform. This encourages our financial services partners to continue promoting their products through NerdWallet, as we are a channel for them to acquire attractive customers.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Access to Consumers Who Are Ready to Transact. </w:t>
      </w:r>
      <w:r>
        <w:rPr>
          <w:rFonts w:ascii="Times New Roman;sans-serif" w:hAnsi="Times New Roman;sans-serif"/>
          <w:b w:val="false"/>
          <w:color w:val="000000"/>
          <w:sz w:val="20"/>
        </w:rPr>
        <w:t xml:space="preserve">While our expertise and personalized guidance is helpful for consumers at all stages of the financial decision-making process, we believe many of the consumers that use NerdWallet are already poised to make a transaction, using NerdWallet as the final check. For our financial services partners, this leads to more engaged potential customers, who have a better understanding of our partners’ products than the average customer. We believe that these high-quality matches can result in higher customer lifetime values for our partners. In addition to providing our financial services partners with attractive potential customers, we do so just as consumers’ purchase intent is the highest. Because of this, some financial services partners choose to market special or unique offers first or only through NerdWallet.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Positive Brand Association.</w:t>
      </w:r>
      <w:r>
        <w:rPr>
          <w:color w:val="000000"/>
        </w:rPr>
        <w:t xml:space="preserve"> </w:t>
      </w:r>
      <w:r>
        <w:rPr>
          <w:rFonts w:ascii="Times New Roman;sans-serif" w:hAnsi="Times New Roman;sans-serif"/>
          <w:b w:val="false"/>
          <w:color w:val="000000"/>
          <w:sz w:val="20"/>
        </w:rPr>
        <w:t>All of our articles, reviews and recommendations are written by our independent editorial team, and because of this, we believe consumers trust our assessment of the financial services and products offered on our platform. As a result, we believe that our financial services partners greatly benefit from placement on our Best-of Awards lists, in our reviews and within other NerdWallet content. In fact, over 100 partner advertising campaigns leveraged the best-of badge, underscoring the weight that a NerdWallet evaluation carries.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 xml:space="preserve">Exposure to Consumers Seeking a Broader Range of Financial Products. </w:t>
      </w:r>
      <w:r>
        <w:rPr>
          <w:rFonts w:ascii="Times New Roman;sans-serif" w:hAnsi="Times New Roman;sans-serif"/>
          <w:b w:val="false"/>
          <w:color w:val="000000"/>
          <w:sz w:val="20"/>
        </w:rPr>
        <w:t>Given the breadth of our expertise, consumers are able to use our platform for multiple facets of their financial well-being beyond their initial transactions. Through the wide range of guidance that we offer, consumers are exposed to relevant products outside of the one they are researching at a given time. For example, a consumer researching credit cards may see a relevant article regarding mortgages, then remember that article when they are in the market for a mortgage at a later date. As a result, consumers are exposed to our financial services partners’ products at various points in their financial journey, increasing the value of our platform both to consumers and financial services partners.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Our Growth Pillars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execute against our strategy and invest in our three pillars of growth- “Land and Expand,” “Vertical Integration,” and “Registrations and Data-Driven Engagement”- helps us advance toward becoming a trusted financial ecosystem. With our trusted financial ecosystem, we will provide a single platform that consumers and SMBs can rely on to learn about various financial topics, shop for products, connect their data and receive data-driven nudges. This will provide our users with more clarity and confidence around their finances and help grow and diversify our business through reoccurring engagement and revenue.</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Land and Expand. </w:t>
      </w:r>
      <w:r>
        <w:rPr>
          <w:rFonts w:ascii="Times New Roman;sans-serif" w:hAnsi="Times New Roman;sans-serif"/>
          <w:b w:val="false"/>
          <w:color w:val="000000"/>
          <w:sz w:val="20"/>
        </w:rPr>
        <w:t>Our trusted brand and organic reach keep us well-positioned to land and expand in new financial areas and geographies. As we look to add capabilities within our existing verticals and enter new verticals, our brand paves the way for us to meet consumer demand. By improving the quality of our guidance within existing verticals, we believe we can enhance the experience for our users and continue to build recurring revenue streams. Our approach for new vertical expansion is well-defined—provide trusted content and tools to attract organic traffic, then leverage our brand and marketing expertise to accelerate growth. Expansion to new verticals allows us to address more of our consumers’ needs and increases our potential for cross-selling, thereby making existing verticals and marketing channels more efficient. We also believe there is significant potential for us to grow the global reach of our platform. Our success in the United States and our strong brand give us a solid foundation to expand our international footprint in markets like the UK in 2020, Canada in 2021 and Australia in 2022.</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Vertical Integration.</w:t>
      </w:r>
      <w:r>
        <w:rPr>
          <w:color w:val="000000"/>
        </w:rPr>
        <w:t xml:space="preserve"> </w:t>
      </w:r>
      <w:r>
        <w:rPr>
          <w:rFonts w:ascii="Times New Roman;sans-serif" w:hAnsi="Times New Roman;sans-serif"/>
          <w:b w:val="false"/>
          <w:color w:val="000000"/>
          <w:sz w:val="20"/>
        </w:rPr>
        <w:t>Our distinct ability to combine our trusted brand and massive top-of-funnel reach with best-in-class user experiences helps us vertically integrate in areas and topics that capture re-occurring revenue. For example, in 2020, we acquired Fundera, Inc, (Fundera) to improve our offering for SMBs. Upon integration, we combined NerdWallet’s top-of-funnel strength with Fundera’s monetization strategy, which added a recurring revenue tail. In 2024 and 2023, SMB products revenue grew 9% and 11%, respectively, year-over-year despite a challenging loans macroeconomic environment as they successfully directed organic traffic through an efficient funnel. Given our success in SMB, we furthered our vertical integration efforts in 2022 through our acquisition of On the Barrelhead (OTB), a loan matching platform that provides consumers and SMBs with product recommendations. Similar to the vertical integration approach utilized with Fundera, we believe that by pairing OTB’s loan matching platform with NerdWallet’s trusted brand and massive reach, we can offer our users more personalized and compelling recommendations, leading to better customer experiences and improved monetization. In fact, we have seen two times the increase in our match rate with personal loans financial providers after integrating OTB technology. Additionally, in late 2024 we acquired NDL, a mortgage brokerage, to provide our consumers with more hands-on guidance through the mortgage shopping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 xml:space="preserve">Registration and Data-Driven Engagement. </w:t>
      </w:r>
      <w:r>
        <w:rPr>
          <w:rFonts w:ascii="Times New Roman;sans-serif" w:hAnsi="Times New Roman;sans-serif"/>
          <w:b w:val="false"/>
          <w:color w:val="000000"/>
          <w:sz w:val="20"/>
        </w:rPr>
        <w:t>Critical to our aspiration of delivering consumers and SMBs with a trusted financial ecosystem is our ability to register and engage users—in turn allowing us to drive repeat visits, collect data and provide users with unique insights via nudges. We are focused on growing the traffic and engagement on our platform, as well as increasing our number of registered users, who have a lifetime revenue value five times greater than our non-registered users and more than twice the transactions and sessions, on average. We have made significant progress in our efforts, and since 2016, we have started converting unique users into registered users that utilize our consumer decisioning tools and increased machine learning functionality. We had registered users of 14 million as of December 31, 2022, over 19 million as of December 31, 2023 and 25 million as of December 31, 2024. We will continue to invest in building efficient and scalable technical capabilities to deliver personalized guidance and nudge consumers, at the right time, to take action based on our advice. With better machine learning, we believe our recommendations and contextual nudges will encourage repeat engagement and user registration on our platform. As more consumers use our platform and engage with our extensive financial 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too. This, in turn, attracts new partners and new financial products to the platform. More partners and more products serve to further increase the success rates of consumers using our platform, all of which drives our growth. This creates a unique value proposition for all constituents in our ecosystem, making our platform more valuable.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Market Opportunity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primary addressable market opportunity is U.S. financial services digital advertising spend, which is expected to be more than $36 billion in 2024 and has been growing at double digit rates annually, according to eMarketer. As digital advertising spend continues to increase as a percentage of overall advertising spend, we expect our addressable market opportunity to grow along with 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services provided by financial advisors, insurance agencies, loan brokers, mortgage brokers and others will increasingly transition online in the coming years, which will expand our addressable market. As a result of this offline-to-online shift, offline sales commission dollars will be reallocated to better align with the growth and importance of digital channels. As financial services providers modernize their approach to sales commissions and related compensation, we expect that our addressable market opportunity will continue to grow.</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Product Offerings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NerdWallet platform is designed to empower consumers at every stage of their financial journey through our personalized offerings. Whether consumers have a specific money question, are shopping for the “best” financial product or want to proactively stay on top of their finances, we provide financial guidance to meet their varied needs. We offer guidance across eight verticals: credit cards, mortgages, insurance, SMB products, personal loans, banking, investing and student loans.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unbiased and comprehensive approach to financial guidance and personalized insights provides a competitive advantage for NerdWallet. This advantage will compound as we further expand our product offerings and as we continue to apply the power of machine learning to further refine our personalized insights. To ensure we are able to meet distinct consumer needs and preferences, our financial guidance and products are delivered in a variety of ways, organized in the following core categories: Learn, Shop and Manage.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Learn. </w:t>
      </w:r>
      <w:r>
        <w:rPr>
          <w:rFonts w:ascii="Times New Roman;sans-serif" w:hAnsi="Times New Roman;sans-serif"/>
          <w:b w:val="false"/>
          <w:color w:val="000000"/>
          <w:sz w:val="20"/>
        </w:rPr>
        <w:t>Our mission is to provide clarity for all of life’s financial decisions, and we provide resources that make even the most complicated financial questions and topics simple to understand. The resources consumers can access on our platform include articles, calculators, videos and podcasts. We do this with our award-winning editorial team of Nerds who create and curate NerdWallet’s house views on a wide variety of personal finance topics. Our writers and editors, many of whom have joined us from notable publications, cover specific verticals day in and day out, and, as a result, are deeply knowledgeable about the financial areas they cover, producing high-quality and award-winning guidance. This trusted guidance has enabled us to build a large, well-informed audience, many of whom are ready to transact. Accordingly, we have become an attractive partner for financial services providers wanting to reach these high value consumers. Today, our platform stretches across many verticals, including credit cards, mortgages, insurance, SMB products, personal loans, banking, investing and student loans. These capabilities help consumers make educated decisions about financial products, while allowing us to provide our financial services partners with informed consumers ready to transact.</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Shop. </w:t>
      </w:r>
      <w:r>
        <w:rPr>
          <w:rFonts w:ascii="Times New Roman;sans-serif" w:hAnsi="Times New Roman;sans-serif"/>
          <w:b w:val="false"/>
          <w:color w:val="000000"/>
          <w:sz w:val="20"/>
        </w:rPr>
        <w:t>NerdWallet’s platform and intuitive user interface help consumers find the products that best match their searches, instilling confidence in their financial decisions. Consumers can easily explore available products, filter results according to their specific needs, sort by NerdWallet rating and narrow down their options with the help of various tools, including side-by-side comparisons, “Best-of” lists and financial product reviews. In our credit card and loans verticals, we also offer the ability to personalize our recommendations by matching consumers to the appropriate lender for their unique needs.</w:t>
      </w:r>
    </w:p>
    <w:p>
      <w:pPr>
        <w:pStyle w:val="TextBody"/>
        <w:bidi w:val="0"/>
        <w:spacing w:lineRule="auto" w:line="288" w:before="0" w:after="180"/>
        <w:ind w:left="0" w:right="0" w:hanging="360"/>
        <w:jc w:val="both"/>
        <w:rPr/>
      </w:pPr>
      <w:r>
        <w:rPr>
          <w:color w:val="000000"/>
        </w:rPr>
        <w:t>•</w:t>
      </w:r>
      <w:r>
        <w:rPr>
          <w:rFonts w:ascii="Times New Roman;sans-serif" w:hAnsi="Times New Roman;sans-serif"/>
          <w:b/>
          <w:color w:val="000000"/>
          <w:sz w:val="20"/>
        </w:rPr>
        <w:t xml:space="preserve">Manage. </w:t>
      </w:r>
      <w:r>
        <w:rPr>
          <w:rFonts w:ascii="Times New Roman;sans-serif" w:hAnsi="Times New Roman;sans-serif"/>
          <w:b w:val="false"/>
          <w:color w:val="000000"/>
          <w:sz w:val="20"/>
        </w:rPr>
        <w:t>NerdWallet makes it easy for our registered users to stay on top of their money by centralizing many of their financial decisions in one place. Consumers can get a holistic view of their finances, and hone in on specific details about their spending and saving patterns across accounts. By codifying insights from our award-winning editorial team, we are able to recommend smart money moves via contextual “nudges” for example, letting consumers know that the improvement in their credit score means that they could qualify for lower auto insurance rates. As a result, NerdWallet has become a one-stop-shop for consumers to track, manage and plan their financial futures.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Our Technology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built our scalable technology platform to serve both the growing number of consumers searching for financial products digitally and the increasing number of financial service providers looking to reach consumers with the right characteristics for any given product. Additionally, beyond enabling all elements of our consumer “Learn, Shop, Manage” product experience, our technology is key to keeping our platform secure and compliant. The key capabilities and features of our platform include Content Management, Partner Access, Recommendation Engine and Personal Financial Management.</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Content Management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content management platform leverages structured data components to showcase our financial guidance to consumers at scale. By codifying our editorial team’s house views, we are able to dynamically recommend relevant content using machine learning for consumers seeking guidance and thus increase product matches. Our personalized article recommendations lead to higher click-through rates, ultimately increasing transactions on our platform.</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Partner Access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Our platform manages</w:t>
      </w:r>
      <w:r>
        <w:rPr>
          <w:color w:val="000000"/>
          <w:shd w:fill="FFFFFF" w:val="clear"/>
        </w:rPr>
        <w:t xml:space="preserve"> </w:t>
      </w:r>
      <w:r>
        <w:rPr>
          <w:rFonts w:ascii="Times New Roman;sans-serif" w:hAnsi="Times New Roman;sans-serif"/>
          <w:b w:val="false"/>
          <w:color w:val="000000"/>
          <w:sz w:val="20"/>
          <w:shd w:fill="FFFFFF" w:val="clear"/>
        </w:rPr>
        <w:t>over 400 f</w:t>
      </w:r>
      <w:r>
        <w:rPr>
          <w:rFonts w:ascii="Times New Roman;sans-serif" w:hAnsi="Times New Roman;sans-serif"/>
          <w:b w:val="false"/>
          <w:color w:val="000000"/>
          <w:sz w:val="20"/>
        </w:rPr>
        <w:t>inancial services partners across eight verticals. We have a team focused on ingesting and aggregating data from our financial services partners across our verticals and financial products to surface and apply product details and attributes for matching with consumers. Our partner data ingestion, quality and compliance processes ensure accuracy and scalability across our platform. We are able to onboard new partners quickly with significantly lower partner marketing compliance risk—for example, inaccurate displays of rewards, fees, or interest rates. Our partner platform also includes the ability to integrate prequalification experiences and targeting engines.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Recommendation Engine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proprietary recommendation engine uses machine learning to match consumers to financial products and partners that meet their unique needs. Examples include, but are not limited to: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For credit card products, our approval odds model determines a consumer's likelihood of getting approved, which ultimately saves them time, enables users to avoid unnecessary hard credit checks, and drives stronger conversion rates for our financial services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For some loans products, we operate a prequalification system that assists consumers through the underwriting process. Additionally, OTB’s loan-matching platform unlocks more personalized and compelling recommendations, leading to better customer experiences and improved monetization.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is flexible enough to engage with financial services partners in ways that align with each industry’s unique requirements and business practices.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Personal Financial Management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logged-in experience for registered users serves as a one-stop shop for consumers to track, manage and maximize their finances, all in one place. We analyze first-party data, third-party data from financial account aggregators and credit reports to understand our users’ unique financial situations. Our recommendation engine surfaces insights and actions that users can take to make smart money moves, such as improving their credit scores, maximizing their credit card rewards or earning a higher savings interest rate. Additionally, our credit score predictive modeling can estimate the impact of financial decisions on consumers’ credit scores, thus enhancing the insights and recommendations that we can provide to them.</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Security and Privacy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consumer-first company that is building a trusted brand, we are both committed and mandated to adhere to the strictest privacy standards. We believe our commitment to data protection and privacy, as well as our superior insights and guidance, are the primary reasons why consumers provide us with personal data on our platform.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practice a security-first approach to product development, with our security team involved in building our products, features, platforms and infrastructure from the beginning. This approach allows us to build with security as a core requirement rather than treating it as an afterthought. Our security team has a wide range of expertise, from corporate security to network security to application security, giving us the ability to design security into everything that we do, from product development to vendor selection to the tools that we use in our day-to-day work as Nerds.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function is a critical way we reach and build trust with consumers and is an important growth lever for our business. Our marketing strategy is diversified across brand marketing, organic and performance marketing, customer relationship management and communications. Importantly, these strategies build on and reinforce one another, optimizing for building consumer trust and managing spend efficiently. Brand marketing campaigns, which encourage consumers to turn to NerdWallet with all of their money questions, increase awareness and drive top-of-funnel interest, while amplifying the effectiveness of our organic and performance marketing channels. All of our marketing programs and channels are measured by a data-driven media mix model to determine results and effectively allocate marketing investments to drive maximum business impact.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substantial organic and performance marketing presence that drives high-intent traffic. Our organic marketing program leverages our substantial, proprietary body of trusted guidance coupled with expertise in SEO and public relations, to reinforce NerdWallet as a trusted authority in personal finance. Our performance marketing is also highly optimized for profitable revenue growth.</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NerdWallet’s editorial team is made up of writers and editors who are deeply knowledgeable about personal finance. Our editorial team provides well-researched guidance across all areas of personal finance and for various stages of consumers’ financial journeys, from basic information about saving for retirement to timely guidance about applying for unemployment to in-depth product reviews. Our writers are frequently featured providing guidance in print, online and broadcast media such as The New York Times and Good Morning America, among others.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communications team oversees the execution of consumer, product and corporate communications to both reinforce NerdWallet as a trusted brand and support our organic growth strategies by generating considerable media and syndication coverage, particularly for NerdWallet’s consumer finance spokespeople.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marketing strategy will position NerdWallet as the trusted brand of choice in personal finance, improve traffic acquisition at all levels of the funnel, drive engagement with users, and enable us to scale quickly across new consumer finance verticals and geographies.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pPr>
      <w:r>
        <w:rPr>
          <w:rFonts w:ascii="Times New Roman;sans-serif" w:hAnsi="Times New Roman;sans-serif"/>
          <w:b/>
          <w:color w:val="000000"/>
          <w:sz w:val="20"/>
        </w:rPr>
        <w:t xml:space="preserve">Environmental, Social and </w:t>
      </w:r>
      <w:r>
        <w:rPr>
          <w:rFonts w:ascii="Times New Roman;sans-serif" w:hAnsi="Times New Roman;sans-serif"/>
          <w:b/>
          <w:color w:val="000000"/>
          <w:sz w:val="20"/>
          <w:shd w:fill="FFFFFF" w:val="clear"/>
        </w:rPr>
        <w:t>Governance</w:t>
      </w:r>
    </w:p>
    <w:p>
      <w:pPr>
        <w:pStyle w:val="TextBody"/>
        <w:bidi w:val="0"/>
        <w:spacing w:lineRule="auto" w:line="288" w:before="0" w:after="180"/>
        <w:ind w:left="0" w:right="0" w:firstLine="360"/>
        <w:jc w:val="both"/>
        <w:rPr/>
      </w:pPr>
      <w:r>
        <w:rPr>
          <w:rFonts w:ascii="Times New Roman;sans-serif" w:hAnsi="Times New Roman;sans-serif"/>
          <w:b w:val="false"/>
          <w:color w:val="000000"/>
          <w:sz w:val="20"/>
          <w:shd w:fill="FFFFFF" w:val="clear"/>
        </w:rPr>
        <w:t xml:space="preserve">Our mission, to provide clarity for all of life’s financial decisions, is rooted in our belief that both individual consumers and SMBs should be empowered to make financial decisions with confidence. As a mission-driven, consumer-first company, we have long had a company culture oriented towards being responsible and socially conscious. In 2024, we published our third annual ESG report, outlining our corporate social responsibility programs, diversity, equity, and inclusion efforts, and our first environmental and sustainability strategy, specifically our Scope 1, 2, and 3 emissions. You can find the report at </w:t>
      </w:r>
      <w:r>
        <w:rPr>
          <w:rFonts w:ascii="Times New Roman;sans-serif" w:hAnsi="Times New Roman;sans-serif"/>
          <w:b w:val="false"/>
          <w:i/>
          <w:color w:val="000000"/>
          <w:sz w:val="20"/>
          <w:shd w:fill="FFFFFF" w:val="clear"/>
        </w:rPr>
        <w:t>https://www.nerdwallet.com/l/environmental-social-governance</w:t>
      </w:r>
      <w:r>
        <w:rPr>
          <w:rFonts w:ascii="Times New Roman;sans-serif" w:hAnsi="Times New Roman;sans-serif"/>
          <w:b w:val="false"/>
          <w:color w:val="000000"/>
          <w:sz w:val="20"/>
          <w:shd w:fill="FFFFFF" w:val="clear"/>
        </w:rPr>
        <w:t xml:space="preserve">. </w:t>
      </w:r>
    </w:p>
    <w:p>
      <w:pPr>
        <w:pStyle w:val="TextBody"/>
        <w:bidi w:val="0"/>
        <w:spacing w:lineRule="auto" w:line="288" w:before="0" w:after="18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ESG strategy is founded on three pillars:</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Achieving Our Vision, or the work we do to create a world in which everyone makes financial decisions with confidence. We know that not everyone has access to the information they need to make confident decisions, that not everyone is adequately served by financial incumbents, and addressing these inequities is endemic to our DNA. </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Investing in Our Nerds, or the work we do to provide our talented Nerds with an equitable and inclusive workplace in which they can thrive professionally and personally. Our Nerds are eager to make an impact, and we want to empower them in pursuit of our shared and individual goals. </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Building a Socially Responsible Business, or the work we do to ensure that our business practices protect and improve the lives of our consumers, our Nerds, and our wider world.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Employees and Human Capital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 As of December 31, 2024, we had over 650 full</w:t>
        <w:noBreakHyphen/>
        <w:t xml:space="preserve">time employees, of which approximately 95% are located throughout the United States and 5% are located internationally. None of our employees are represented by a labor union or covered by collective bargaining agreements. We consider our relationship with our employees to be good and have not experienced any work stoppages.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Our Culture and Engagement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Nerds are the key to our success and the reason we believe we will achieve our mission; they are also one of our most crucial areas of investment. At the core of our Nerdy culture are our values. They’re not just words written on a wall or printed on t-shirts, but lived and breathed every day by every Nerd: (1) Consumer, Company, Team, Self; (2) Relentless Self-Improvement; (3) Ownership; (4) Informed Risk-Taking; and (5) Open, Candid and Constructive. We measure employee performance against these company values and measure employee engagement through surveys, and participation at all-hands and town hall style meetings with leadership. We have been consistently recognized for our competitive employee benefits, commitment to employee growth and empowerment, and our flexible workplace environment.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Diversity, Equity, Inclusion and Belonging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NerdWallet, we aspire to provide people with the confidence they need to live their best lives—however they identify. For our consumers, this means building their financial confidence. For our Nerds, this means fostering an inclusive culture that allows all Nerds to be their authentic selves, grow their skills, contribute, and thrive with the confidence of belonging. Our diversity, equity, inclusion and belonging (DEIB) efforts are centered around ensuring we are building a diverse organization across all business aspects and creating an inclusive culture where everyone is engaged and empowered to do their best work. Our key initiatives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Offering learning sessions and resources for Nerds and managers to help build an inclusive workplace.</w:t>
      </w:r>
    </w:p>
    <w:p>
      <w:pPr>
        <w:pStyle w:val="TextBody"/>
        <w:bidi w:val="0"/>
        <w:spacing w:lineRule="auto" w:line="288" w:before="0" w:after="180"/>
        <w:ind w:left="0" w:right="0" w:hanging="360"/>
        <w:jc w:val="both"/>
        <w:rPr/>
      </w:pPr>
      <w:r>
        <w:rPr>
          <w:strike/>
          <w:color w:val="000000"/>
        </w:rPr>
        <w:t>•</w:t>
      </w:r>
      <w:r>
        <w:rPr>
          <w:rFonts w:ascii="Times New Roman;sans-serif" w:hAnsi="Times New Roman;sans-serif"/>
          <w:b w:val="false"/>
          <w:color w:val="000000"/>
          <w:sz w:val="20"/>
        </w:rPr>
        <w:t>Supporting eight employee-led employee resource groups, which provide supportive community and development opportunities for various employee populations and their allies: NerdOut, NerdFamilies, NerdWomen, Nerd Allies, Asian Nerds, Black Nerds Network, Viva Nerds, and Women in Data and Engineering.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began 2024 with a new silver-level certification from Black Equity at Work from Management Leadership for Tomorrow. We also committed to the Hispanic Equity at Work Certification. This rigorous three-year route to certification features a data-driven and comprehensive plan to drive and support racial equity at NerdWallet.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use a third-party platform to analyze our employee salaries to ensure pay parity.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Offering Learning and Activism Days to inspire and encourage Nerds to learn,grow and give back to their communities. This year, we held two Nerds Pay It Forward events, freeing up time in support of employee volunteerism on dedicated volunteer days to encourage all NerdWallet employees to give back to their communities. In all, Nerds donated over 1,700 hours during these events.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Talent Attraction, Recruitment and Retention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remote-first culture allows us to reach, attract and retain more diverse talent across all levels of our organization. Attracting and retaining highly skilled, diverse talent is absolutely critical to our success as a business and to fully realizing NerdWallet’s mission. Once employees are at NerdWallet we invest in their well-being and development offering competitive compensation and benefits, opportunities for career growth, and inclusion and belonging programming.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Training, Learning and Development</w:t>
      </w:r>
      <w:r>
        <w:rPr>
          <w:color w:val="000000"/>
        </w:rPr>
        <w:t xml:space="preserve"> </w:t>
      </w:r>
      <w:r>
        <w:rPr>
          <w:rFonts w:ascii="Times New Roman;sans-serif" w:hAnsi="Times New Roman;sans-serif"/>
          <w:b w:val="false"/>
          <w:color w:val="000000"/>
          <w:sz w:val="20"/>
        </w:rPr>
        <w:t>- In line with our Relentless Self-Improvement value, we encourage our employees to seek out professional development opportunities. In addition, we provide in-house opportunities for career development, including a job shadowing program, career conversations, cohort-based learning, on-demand courses, and a career readiness series as part of our Career Accelerator Program (CAP) designed to invest in our early to mid-career talent in individual contributor roles and provide them with the tools and resources needed to thrive at NerdWallet.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Compensation</w:t>
      </w:r>
      <w:r>
        <w:rPr>
          <w:color w:val="000000"/>
        </w:rPr>
        <w:t xml:space="preserve"> </w:t>
      </w:r>
      <w:r>
        <w:rPr>
          <w:rFonts w:ascii="Times New Roman;sans-serif" w:hAnsi="Times New Roman;sans-serif"/>
          <w:b w:val="false"/>
          <w:color w:val="000000"/>
          <w:sz w:val="20"/>
        </w:rPr>
        <w:t>- NerdWallet offers market-competitive compensation to attract employees and a pay-for-performance philosophy to engage and retain our employees. We want our employees to feel invested in the future of NerdWallet by offering the majority of full-time employees equity-based compensation upon hire and through annual performance equity grants.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Comprehensive Benefits and Perks</w:t>
      </w:r>
      <w:r>
        <w:rPr>
          <w:color w:val="000000"/>
        </w:rPr>
        <w:t xml:space="preserve"> </w:t>
      </w:r>
      <w:r>
        <w:rPr>
          <w:rFonts w:ascii="Times New Roman;sans-serif" w:hAnsi="Times New Roman;sans-serif"/>
          <w:b w:val="false"/>
          <w:color w:val="000000"/>
          <w:sz w:val="20"/>
        </w:rPr>
        <w:t>- In order to attract, engage and retain our employees, we offer a wide array of benefits and perks to promote their health and well-being,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Medical, dental, vision, life and disability insurance plans;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Flexible paid vacation and sick time off and flexible work schedules;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Mental health benefits and Company mental health days off in addition to an annual week-long Company shutdown at the end of the calendar year;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Remote-first work environment;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Parental leave;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Country-specific retirement or pension plans, with a match for U.S. 401(k) plan contributions;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Employee Stock Purchase Plan (ESPP);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Access to financial wellness guidance from certified financial planners;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Referral bonus program for recruiting new Nerds;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Charitable matching program and volunteer time off,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Access to online and automated legal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a scaled and highly differentiated online platform. We face competition from both online and offline financial guidance providers in four primary categories: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Financial advisors, agents, and brokers</w:t>
      </w:r>
      <w:r>
        <w:rPr>
          <w:color w:val="000000"/>
        </w:rPr>
        <w:t xml:space="preserve"> </w:t>
      </w:r>
      <w:r>
        <w:rPr>
          <w:rFonts w:ascii="Times New Roman;sans-serif" w:hAnsi="Times New Roman;sans-serif"/>
          <w:b w:val="false"/>
          <w:color w:val="000000"/>
          <w:sz w:val="20"/>
        </w:rPr>
        <w:t>who provide guidance and expertise as part of their offerings;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 xml:space="preserve">Traditional media </w:t>
      </w:r>
      <w:r>
        <w:rPr>
          <w:rFonts w:ascii="Times New Roman;sans-serif" w:hAnsi="Times New Roman;sans-serif"/>
          <w:b w:val="false"/>
          <w:color w:val="000000"/>
          <w:sz w:val="20"/>
        </w:rPr>
        <w:t>such as The New York Times, U.S. News &amp; World Report and other print and broadcast media;</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Friends and family</w:t>
      </w:r>
      <w:r>
        <w:rPr>
          <w:rFonts w:ascii="Times New Roman;sans-serif" w:hAnsi="Times New Roman;sans-serif"/>
          <w:b w:val="false"/>
          <w:color w:val="000000"/>
          <w:sz w:val="20"/>
        </w:rPr>
        <w:t xml:space="preserve">, as many consumers consult friends and family for financial guidance;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Influencers on social media platforms</w:t>
      </w:r>
      <w:r>
        <w:rPr>
          <w:rFonts w:ascii="Times New Roman;sans-serif" w:hAnsi="Times New Roman;sans-serif"/>
          <w:b w:val="false"/>
          <w:color w:val="000000"/>
          <w:sz w:val="20"/>
        </w:rPr>
        <w: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Traditional financial and depository institutions, non-bank loan originators and other small and medium-sized mortgage brokers</w: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compete with the following for advertising budgets designated for financial products: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Financial services providers’ own marketing</w:t>
      </w:r>
      <w:r>
        <w:rPr>
          <w:rFonts w:ascii="Times New Roman;sans-serif" w:hAnsi="Times New Roman;sans-serif"/>
          <w:b w:val="false"/>
          <w:color w:val="000000"/>
          <w:sz w:val="20"/>
        </w:rPr>
        <w:t>: Financial services providers connect directly through many different channels, digitally (in-app, email, etc.) and offline channels (direct mail, printed media, etc.);</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Online search engines</w:t>
      </w:r>
      <w:r>
        <w:rPr>
          <w:rFonts w:ascii="Times New Roman;sans-serif" w:hAnsi="Times New Roman;sans-serif"/>
          <w:b w:val="false"/>
          <w:color w:val="000000"/>
          <w:sz w:val="20"/>
        </w:rPr>
        <w:t>: Financial services providers spend advertising budgets with online search engines, primarily Google AdWords, as many consumers turn to Google to answer their personal finance questions;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color w:val="000000"/>
          <w:sz w:val="20"/>
        </w:rPr>
        <w:t>Online marketplaces</w:t>
      </w:r>
      <w:r>
        <w:rPr>
          <w:color w:val="000000"/>
        </w:rPr>
        <w:t xml:space="preserve"> </w:t>
      </w:r>
      <w:r>
        <w:rPr>
          <w:rFonts w:ascii="Times New Roman;sans-serif" w:hAnsi="Times New Roman;sans-serif"/>
          <w:b w:val="false"/>
          <w:color w:val="000000"/>
          <w:sz w:val="20"/>
        </w:rPr>
        <w:t>including Bankrate, Credit Karma, LendingTree and Zillow.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due to the breadth and depth of our financial guidance, the trust we’ve built with our consumers, and our brand, organic traffic, convenience and simplicity.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intellectual property rights are valuable and important to our business. We rely on trademarks, copyrights, trade secrets, license agreements, intellectual property assignment agreements, confidentiality procedures, non-disclosure agreements, and employee and contractor non-disclosure and invention assignment agreements to establish and protect our proprietary rights. Though we rely in part upon these legal and contractual protections, we believe that factors such as our skills and the ingenuity of our employees, the quality of our guidance to consumers and the functionality and frequent enhancements to our platform are larger contributors to our success in the marketplace.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trademark rights in our name, our logo, and other brand indicia, and have trademark registrations for select marks in the U.S. and many other jurisdictions around the world. We also have registered domain names for websites that we use in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Factors—Risks Related to Our Technology, Security and Intellectual Property—Failure to protect or enforce our intellectual property rights could harm our business, financial condition and results of operations.”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provide our products and services in heavily regulated industries through a number of different channels across the U.S., the UK and Canada. As a result, aspects of our business are potentially subject to a variety of U.S., UK and Canadian laws and regulations,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Truth-in-Lending Act (TILA), the Equal Credit Opportunity Act</w:t>
      </w:r>
      <w:r>
        <w:rPr>
          <w:color w:val="000000"/>
        </w:rPr>
        <w:t xml:space="preserve"> </w:t>
      </w:r>
      <w:r>
        <w:rPr>
          <w:rFonts w:ascii="Times New Roman;sans-serif" w:hAnsi="Times New Roman;sans-serif"/>
          <w:b w:val="false"/>
          <w:color w:val="000000"/>
          <w:sz w:val="20"/>
        </w:rPr>
        <w:t>(ECOA), the Fair Credit Reporting Act (FCRA), Fair and Accurate Credit Transactions Act of 2003, the Fair Housing Act (FHA), the Real Estate Settlement Procedures Act</w:t>
      </w:r>
      <w:r>
        <w:rPr>
          <w:color w:val="000000"/>
        </w:rPr>
        <w:t xml:space="preserve"> </w:t>
      </w:r>
      <w:r>
        <w:rPr>
          <w:rFonts w:ascii="Times New Roman;sans-serif" w:hAnsi="Times New Roman;sans-serif"/>
          <w:b w:val="false"/>
          <w:color w:val="000000"/>
          <w:sz w:val="20"/>
        </w:rPr>
        <w:t>(RESPA), and similar state laws, all of which place certain restrictions on the manner in which mortgages and other consumer loans are marketed and originated, and some of which impose restrictions on the amount and nature of fees that may be charged to lenders and real estate professionals for providing or obtaining consumer loan requests;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Dodd-Frank Wall Street Reform and Consumer Protection Act (Dodd-Frank Act), which imposes, among other things, a broad prohibition on Unfair, Deceptive and Abusive Acts and Practices (UDAAPs) in connection with consumer financial products and services, limitations on fees charged by mortgage lenders, and requirements related to mortgage disclosures and is enforced by the Consumer Financial Protection Bureau (CFPB) and state regulatory authorities;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Federal Trade Commission Act (FTC Act), which, among other things, imposes a broad prohibition on Unfair and Deceptive Acts and Practices in or affecting commerce, and is enforced by the Federal Trade Commission (FTC) and Canada’s Competition Act;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State laws that impose prohibitions on Unfair, Deceptive and Abusive Acts and Practices similar to the Dodd-Frank Act and FTC Act’s prohibitions;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Federal, state and provincial licensing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Federal and state laws, which impose restrictions on activities conducted through telephone, mail, email, mobile device or the Internet, including the Telemarketing Sales Rule, the Telephone Consumer Protection Act, the Controlling the Assault of Non-Solicited Pornography and Marketing Act of 2003, and Canada’s Anti-Spam Legislation;</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Federal and state laws relating to offering of credit repair services to consumers, including such laws that impose restrictions on the usage and storage of consumer credit information such as the Credit Repair Organizations Act and FCRA;</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Federal and state laws and regulations relating to data privacy and security, such as the Gramm-Leach-Bliley Act (GLBA) and the California Consumer Privacy Act (CCPA), which impact how we collect, use, store, share and otherwise process personal information of consumers and other individuals;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Recent state laws regulating data privacy and security such as the CCPA;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Foreign laws and regulations relating to data privacy and security, such as the UK General Data Protection Regulation, the UK Data Protection Act 2018 and the General Data Protection Regulation 2016/679, each of which regulates our collection, processing, disclosure and other use of data relating to identifiable living individuals (personal data).</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In addition to the U.S. federal, state and local laws described above, U.S. federal and state agencies have broad oversight, supervision, and enforcement authority over our mortgage business.</w:t>
      </w:r>
      <w:r>
        <w:rPr>
          <w:color w:val="000000"/>
        </w:rPr>
        <w:t xml:space="preserve"> </w:t>
      </w:r>
      <w:r>
        <w:rPr>
          <w:rFonts w:ascii="Times New Roman;sans-serif" w:hAnsi="Times New Roman;sans-serif"/>
          <w:b w:val="false"/>
          <w:color w:val="000000"/>
          <w:sz w:val="20"/>
        </w:rPr>
        <w:t>Because we are not a depository institution, we must comply with state licensing requirements to conduct our business. We will incur significant ongoing costs to comply with licensing and other legal requirements under the Secure and Fair Enforcement for Mortgage Licensing Act of 2008 (SAFE Act) and the Dodd</w:t>
        <w:noBreakHyphen/>
        <w:t xml:space="preserve">Frank Act, among others. As required by state law, we have additional licenses to enable us to conduct lead generation activities, and operate our loan platforms that facilitate consumer and business loans. The licensing process includes the submission of an application to the relevant state agency, a character and fitness review of key individuals and an administrative review of our business operations.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mortgage brokerage business through NDL is subject to a variety of regulatory and contractual obligations imposed by federal and state authorities, as well as by wholesale lenders and investors with whom we work to facilitate mortgage transactions. This includes compliance with regulations enforced by the CFPB, which oversees residential mortgage loan origination practices under the Dodd-Frank 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CFPB has rulemaking authority over key federal consumer protection laws applicable to mortgage brokers and lenders, including TILA, RESPA, ECOA, and FCRA. Additionally, NDL must comply with state mortgage broker licensing requirements, as well as regulatory expectations set by lenders, insurers, and government-backed loan programs such as FHA, VA, and USDA.</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We maintain an investor relations website at the following address: </w:t>
      </w:r>
      <w:r>
        <w:rPr>
          <w:rFonts w:ascii="Times New Roman;sans-serif" w:hAnsi="Times New Roman;sans-serif"/>
          <w:b w:val="false"/>
          <w:i/>
          <w:color w:val="000000"/>
          <w:sz w:val="20"/>
        </w:rPr>
        <w:t>https://investors.nerdwallet.com</w:t>
      </w:r>
      <w:r>
        <w:rPr>
          <w:rFonts w:ascii="Times New Roman;sans-serif" w:hAnsi="Times New Roman;sans-serif"/>
          <w:b w:val="false"/>
          <w:color w:val="000000"/>
          <w:sz w:val="20"/>
        </w:rPr>
        <w:t>. The information on our investor relations website is not incorporated by reference in this report. We make available on or through our investor relations website certain reports and amendments to those reports that we file with or furnish to the SEC in accordance with the Exchange Act. These include our Annual Reports on Form 10-K, our Quarterly Reports on Form 10-Q and our Current Reports on Form 8-K. We make this information available on our investor relations website free of charge as soon as reasonably practicable after we electronically file the information with, or furnish it to, the SEC. The SEC maintains a website that contains reports, proxy and information statements, and other information regarding issuers that file electronically with the SEC at the following address:</w:t>
      </w:r>
      <w:r>
        <w:rPr>
          <w:color w:val="000000"/>
        </w:rPr>
        <w:t xml:space="preserve"> </w:t>
      </w:r>
      <w:r>
        <w:rPr>
          <w:rFonts w:ascii="Times New Roman;sans-serif" w:hAnsi="Times New Roman;sans-serif"/>
          <w:b w:val="false"/>
          <w:i/>
          <w:color w:val="000000"/>
          <w:sz w:val="20"/>
        </w:rPr>
        <w:t>https://www.sec.gov</w:t>
      </w:r>
      <w:r>
        <w:rPr>
          <w:rFonts w:ascii="Times New Roman;sans-serif" w:hAnsi="Times New Roman;sans-serif"/>
          <w:b w:val="false"/>
          <w:color w:val="000000"/>
          <w:sz w:val="20"/>
        </w:rPr>
        <w:t>.</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addition, we routinely post on our investor relations website news releases, announcements and other statements about our business and results of operations, some of which may contain information that may be deemed material to investors. Therefore, we encourage investors to monitor the </w:t>
      </w:r>
      <w:r>
        <w:rPr>
          <w:rFonts w:ascii="Times New Roman;sans-serif" w:hAnsi="Times New Roman;sans-serif"/>
          <w:b w:val="false"/>
          <w:i/>
          <w:color w:val="000000"/>
          <w:sz w:val="20"/>
        </w:rPr>
        <w:t>https://investors.nerdwallet.com</w:t>
      </w:r>
      <w:r>
        <w:rPr>
          <w:color w:val="000000"/>
        </w:rPr>
        <w:t xml:space="preserve"> </w:t>
      </w:r>
      <w:r>
        <w:rPr>
          <w:rFonts w:ascii="Times New Roman;sans-serif" w:hAnsi="Times New Roman;sans-serif"/>
          <w:b w:val="false"/>
          <w:color w:val="000000"/>
          <w:sz w:val="20"/>
        </w:rPr>
        <w:t>website and review the information we post on that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risks described below and in our subsequent periodic filings with the SEC. The following risk factors should be read in conjunction with “Item 7. Management’s Discussion and Analysis of Financial Condition and Results of Operations” and the consolidated financial statements and related notes in this Annual Report. </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Factors Summary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materially adversely affect us and should be read in conjunction with the full disclosure in this “Risk Factors” section: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consumers do not find value in our platform or do not like the consumer experience on our platform, the number of matches on our platform may decline, which would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maintain our reputation and brand recognition and attract and engage users in a cost-effective manner would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Use of social media, influencers, affiliate marketing, email and text messages may adversely impact our brand and reputation or subject us to fines or other penalties.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make decisions based on the best interests of our users in order to build long-term trust that may result in us forgoing short-term gains.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third parties to perform certain key functions, and their failure to perform those functions could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compete in a highly competitive and rapidly evolving market with a number of other companies and we face the possibility of new entrants disrupting our market over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international expansion subjects us to additional costs and risks which could harm our business, revenue and financial results, and our continued international expansion may be unsuccessful.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actively investing in new product offerings, technologies, and minority investments, with plans to further increase these investments in the future. While these endeavors hold significant potential, they also come with inherent risks, and there is no guarantee that we will realize the anticipated benefits.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financial performance is dependent on our ability to successfully refer users to financial services partners, and these partners are not precluded from offering products and services outside of our platform.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Macroeconomic developments such as inflationary conditions in the U.S. have caused macroeconomic uncertainty and may have an adverse impact on our business, results of operations and our vertical diversification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Adverse conditions in the consumer finance markets, or poor or uncertain macroeconomic conditions, could harm our business, financial condition and results of operations if our financial services partners reduce their marketing budgets and decrease spending on our platform.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the loans markets could harm our business, financial condition and results of operations.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business is subject to a variety of financial regulations in the U.S., UK, Canada and Australia, many of which are overlapping, ambiguous and still developing, which could subject us to claims or otherwise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our Co-founder, CEO and Chairman of our Board of Directors, Tim Chen, which will limit or preclude your ability to influence corporate matters.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20" w:after="180"/>
        <w:jc w:val="both"/>
        <w:rPr/>
      </w:pPr>
      <w:r>
        <w:rPr>
          <w:rFonts w:ascii="Times New Roman;sans-serif" w:hAnsi="Times New Roman;sans-serif"/>
          <w:b/>
          <w:i/>
          <w:color w:val="000000"/>
          <w:sz w:val="20"/>
        </w:rPr>
        <w:t>We depend on relationships with our financial services partners</w:t>
      </w:r>
      <w:r>
        <w:rPr>
          <w:color w:val="000000"/>
        </w:rPr>
        <w:t xml:space="preserve"> </w:t>
      </w:r>
      <w:r>
        <w:rPr>
          <w:rFonts w:ascii="Times New Roman;sans-serif" w:hAnsi="Times New Roman;sans-serif"/>
          <w:b/>
          <w:i/>
          <w:color w:val="000000"/>
          <w:sz w:val="20"/>
        </w:rPr>
        <w:t>for our historical businesses, and any adverse changes in their financial strength, tightening of their underwriting standards or adverse changes to their online marketing strategy would adversely affect our business, financial condition and results of operations.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with them. In times of financial difficulty, financial services providers may also fail to pay fees when due or drop the quality of their services to consumers.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If consumers do not find value in our platform or do not like the consumer experience on our platform, the number of matches on our platform may decline, which would harm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growth of our business and revenue depends upon our ability to engage our existing users and to add new users in our current as well as new verticals. If we lose users or user engagement diminishes, our business and financial condition will be negatively impacted. If we fail to remain competitive on customer experience, editorial articles and product offerings, our ability to grow our business may also be adversely affected.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a key part of our business strategy is to engage users in our existing verticals, we also intend to expand our operations into new verticals. In doing so, we may incur losses or otherwise fail to enter new verticals successfully. Our expansion into new verticals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lose users to new market entrants and/or existing competitors;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do not obtain regulatory approvals necessary for expansion into new verticals, geographies or to launch new products, product features or tools;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fail to effectively use search engines, social media platforms, digital app stores, content-based online advertising, and other online sources for generating traffic to our platform;</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platform experiences disruptions or outages;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suffer reputational harm to our brand including from negative publicity, whether accurate or inaccurate;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fail to expand geographically;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fail to offer new and competitive products, to provide effective updates to our existing products or to keep pace with technological improvements in our industry;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technical or other problems frustrate the user experience;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are unable to address user concerns regarding the content, privacy, and security of our digital platform;</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are unable to continue to innovate and improve our platform by generating compelling content and tools;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existing or new financial services providers use incentives to directly cross-sell their products, reducing consumer benefits of using multiple providers;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are unable to successfully launch new verticals.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overcome these challenges could impair our ability to engage users, and could harm our business, operating results and financial condition.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reliance on internet search engines, particularly Google, for directing traffic to our platform, poses risks. Search engines, like Google, may modify algorithms or policies without prior notice, potentially resulting in significant declines in our organic search ranking and decreased platform traffic. Past changes have caused declines in traffic and user growth, with anticipated fluctuations in the future. The introduction of AI-assisted technologies could further impact search engine relevance, causing declines in our ranking and decreased platform traffic, affecting our financial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Google may take action against websites for behavior deemed to unfairly influence search results, without providing published guidelines. In 2017, Google’s action temporarily resulted in lower search rankings and decreased traffic to our website. Limited appeal options may hinder recovery from such actions. A substantial reduction in users directed from search engines would harm our business, revenue, and financial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anticipation of Google’s deprecation of third-party advertising cookies, we have reduced their use since 2022. We are also exploring new audience targeting and measurement approaches and focusing on direct consumer connections through registration ramps to minimize reliance on search engines. Changes in our marketing approach and consumer relationships are ongoing, with uncertain outcomes on actionable marketing data. Negative effects on targeting consumers would impact our ability to match them with financial services partners, posing a threat to our business, revenue, and financial results.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maintain our reputation and brand recognition and attract and engage users in a cost-effective manner would harm our business, financial condition and results of operations.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attract consumers to the products we provide and our platform, convert these consumers into matches with financial services partners and generate repeat visits, we must market our platform and maintain consumer trust. Promoting and maintaining our brand requires the expenditure of considerable money and resources for online and offline marketing and advertising, the continued provision of high-quality products and services that meet user needs, the ability to maintain consumers’ trust, and the ability to successfully differentiate our brand, products and services from those of our competitors.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Brand recognition is a key differentiating factor between us and our competitors. We believe that continuing to build and maintain the recognition of our brand is important to achieving increased traffic for our platform and demand for the products we provide.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 and adversely affect our business and financial condition and results of operations.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our business to maintain or enhance its reputation and brand recognition and attract and retain consumers in a cost-effective manner could materially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social media, influencers, affiliate marketing, email, and text messages may adversely impact our brand and reputation or subject us to fines or other penalties.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social media, including Facebook, Instagram and TikTok, as well as affiliate marketing, email, and SMS as part of our multi-channel approach to marketing. Laws and regulations governing the use of these platforms and other digital marketing channels are rapidly evolving.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It may also become more difficult for us or our affiliate marketing partners to comply with such laws, and future data privacy laws and regulations or industry standards may restrict or limit our ability to use some or all of the marketing strategies on which we currently rely. The failure by us, our employees, third parties acting at our direction or affiliate marketing partners who engage in advertising on our behalf to abide by applicable laws and regulations in the use of these platforms could adversely impact our reputation or subject us to fines or other penalties. In addition, our employees or third parties, including our affiliate marketing partners, may knowingly or inadvertently make use of social media in ways that could lead to violations of marketing regulations issued by the FTC, SEC or CFPB. Any such inappropriate use of social media tools could also cause business interruptions and reputational damage.</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may make decisions based on the best interests of our users in order to build long-term trust that may result in us forgoing short-term gains.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building our business by prioritizing the best interests of our users, a value we consider instrumental in establishing user trust and driving platform growth and engagement. We believe that this approach aligns with the long-term interests of both our company and stockholders. Historically and potentially in the future, we may choose to forego certain expansion or short-term revenue opportunities that do not align with the best interests of our platform and users, even if such decisions adversely impact our short-term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our platform avoids the use of impression-based advertising, refrains from generating revenue through certain editorial content topics, and ensures the editorial team maintains independence from our business teams. Reviews and ratings of financial services products remain unbiased, unaffected by product placement on our platform or pricing agreements with financial services partners. Additionally, we may invest in products or features that may not yield immediate financial benefits but are expected to drive consumer engagement or offer potential long-term advantages.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illustration, the 2023 launch of the NerdUp credit card, aimed at helping consumers build and improve their credit, is not anticipated to generate significant direct profitability from interchange fees. Instead, we view this product as a means to build consumer trust by offering a compelling product designed for those who want to build or improve their credit. In 2024, the launch of NerdWallet+, a membership experience focused on providing additional services and rewards to consumers who join for an annual fee, is a program to build consumer trust designed to reward consumers for making healthy financial decisions, but it is not anticipated to generate significant profits. However, the focus on building long-term trust and consumer engagement over short-term revenue opportunities may not always yield the expected long-term benefits, potentially resulting in harm to user traffic, engagement, business, financial condition, and operational results.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perform certain key functions, and their failure to perform those functions could adversely affect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certain third-party computer systems and third-party service providers for a variety of services, including cloud technology providers, third-party data providers, credit bureaus, data transfer networks, and remote and offshore engineering and other services to run our platform and support or carry out certain functions. 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corresponding revenue, which would impact our operating results and cash flow. In addition, it would negatively impact search engine ranking, user experience and our reputation with our financial partners. Furthermore, in the event that any of our agreements with our third-party service providers are terminated, we may experience significant costs or downtime in connection with the transfer to, or the addition of, new hosting providers. Although alternative providers could host our platform on a substantially similar basis, such transition could potentially be disruptive and we could incur significant costs in connection therewith.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compete in a highly competitive and rapidly evolving market with a number of other companies and we face the possibility of new entrants disrupting our market over time.</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personal finance guidance and online search engines. Some of these existing competitors may have more capital or complementary </w:t>
      </w:r>
      <w:r>
        <w:rPr>
          <w:rFonts w:ascii="Times New Roman;sans-serif" w:hAnsi="Times New Roman;sans-serif"/>
          <w:b w:val="false"/>
          <w:color w:val="000000"/>
          <w:sz w:val="20"/>
          <w:shd w:fill="FFFFFF" w:val="clear"/>
        </w:rPr>
        <w:t>products or services</w:t>
      </w:r>
      <w:r>
        <w:rPr>
          <w:color w:val="000000"/>
        </w:rPr>
        <w:t xml:space="preserve"> </w:t>
      </w:r>
      <w:r>
        <w:rPr>
          <w:rFonts w:ascii="Times New Roman;sans-serif" w:hAnsi="Times New Roman;sans-serif"/>
          <w:b w:val="false"/>
          <w:color w:val="000000"/>
          <w:sz w:val="20"/>
        </w:rPr>
        <w:t>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or financial services partner demand before we do. Other newcomers, including major search engines and content aggregators, may be able to leverage their existing</w:t>
      </w:r>
      <w:r>
        <w:rPr>
          <w:color w:val="000000"/>
          <w:shd w:fill="FFFFFF" w:val="clear"/>
        </w:rPr>
        <w:t xml:space="preserve"> </w:t>
      </w:r>
      <w:r>
        <w:rPr>
          <w:rFonts w:ascii="Times New Roman;sans-serif" w:hAnsi="Times New Roman;sans-serif"/>
          <w:b w:val="false"/>
          <w:color w:val="000000"/>
          <w:sz w:val="20"/>
          <w:shd w:fill="FFFFFF" w:val="clear"/>
        </w:rPr>
        <w:t>products and services</w:t>
      </w:r>
      <w:r>
        <w:rPr>
          <w:color w:val="000000"/>
        </w:rPr>
        <w:t xml:space="preserve"> </w:t>
      </w:r>
      <w:r>
        <w:rPr>
          <w:rFonts w:ascii="Times New Roman;sans-serif" w:hAnsi="Times New Roman;sans-serif"/>
          <w:b w:val="false"/>
          <w:color w:val="000000"/>
          <w:sz w:val="20"/>
        </w:rPr>
        <w:t>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expansion into mortgage brokering presents additional risks.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recent acquisition of NDL in October 2024 and our expansion into mortgage brokerage services introduce additional risks. We must comply with complex federal and state regulations governing mortgage brokerage operations, including licensing requirements for both the entity and individuals in the states where NDL operates. Maintaining and expanding relationships with wholesale lenders and credit facility providers is critical to NDL’s ability to offer competitive loan products. Successfully integrating NDL’s operations, technology, and personnel into NerdWallet’s broader platform while ensuring compliance with laws such as the GLBA and RESPA presents execution challenges. Our limited experience operating a mortgage brokerage business increases the importance of attracting and retaining licensed mortgage professionals while ensuring adherence to SAFE Act licensing requirements and evolving industry regulations. The CFPB and federal agencies such as the FHA and the VA continue to expand enforcement actions in mortgage origination, requiring robust compliance and risk management practices. Additionally, operating a direct mortgage brokerage alongside our existing mortgage marketplace comparison platform creates potential conflicts of interest that must be carefully managed to maintain transparency and trust with consumers and lending partners. Mortgage brokerage operations are highly sensitive to interest rate fluctuations, housing market conditions, and changes in wholesale lender policies, all of which could impact loan approvals, funding availability, and revenue generation. Given the competitive and highly regulated nature of the industry, our success will depend on effective execution, compliance, and maintaining consumer trust while navigating evolving market conditions. If we fail to effectively manage these risks, integrate NDL’s operations, or comply with applicable regulatory requirements, our business, financial condition, and results of operations could be materially and adversely affected.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international expansion subjects us to additional costs and risks which could harm our business, revenue and financial results, and our continued international expansion may be unsuccessful.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all of our business has been generated in the U.S. and we have little experience operating internationally. In 2020, we entered the UK market with our acquisition of Notice Media Ltd. (doing business as Know Your Money), an online provider of financial guidance and tools based in the UK. We entered the Canadian and Australian markets organically in the third quarter of 2021 and the fourth quarter of 2022, respectively. We believe part of our growth strategy depends on our continued international expansion. We continue to adapt to and develop strategies to address international markets, but there is no guarantee that such efforts will be successful. Our existing international operations and further international expansion are subject to a number of difficulties and risks, including:</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regulatory laws and requirements for licenses and authorizations; and the UK Bribery Act of 2010 and other anti-corruption laws;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required compliance with U.S. laws such as the Foreign Corrupt Practices Act, and other U.S. federal laws and regulations established by the office of Foreign Asset Control and other governmental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difficulties identifying, obtaining, and maintaining the government approvals, authorizations, or licensures required to conduct our business in foreign markets;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and the impact of local and regional financial crises on demand and payment for our products;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difficulties obtaining intellectual property protection, enforcing our intellectual property rights, and defending against third-party intellectual property infringement claims;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challenges successfully addressing novel sources of competition, including in the context of foreign laws and business practices that may favor local companies;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difficulties managing fluctuations in currency exchange rates and foreign exchange controls;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potentially adverse tax consequences, including multiple and possibly overlapping tax regimes, the complexities of foreign value-added tax systems, and changes in tax rates.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expand our international operations, our success will depend in large part on our ability to anticipate and effectively manage these risks, which in turn will require significant management attention and financial resources. In addition, certain international markets where we do business are subject to significant economic uncertainty. Significant economic developments in these markets, or the perception that any of them could occur, creates further challenges for operating in these markets. If we are unable to successfully manage any of these risks, our existing international operations and any future international expansion could be compromised, which could harm our business, financial condition and results of operations.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are, and intend to continue, developing new products and services, and our failure to accurately predict their demand or growth could have an adverse effect on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and intend in the future to continue, investing significant resources in developing new tools, features, services, products and other offerings, including offerings of mortgage, other lending and financial products. Risks from our innovative initiatives include those associated with potential defects in the design and development of the technologies used to automate processes, misapplication of technologies, the reliance on data that may prove inadequate, and failure to meet client expectations, among others. As a result of these risks, we could experience increased claims, reputational damage, or other adverse effects, which could be material. Additionally, we can provide no assurance that we will be able to develop, commercially market and achieve acceptance of our new products and services. In addition, our investment of resources to develop new products and services may either be insufficient or result in expenses that are excessive in light of revenue actually originated from these new products and services.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profile of potential clients using our new products and services may not be as attractive as the profile of the clients that we currently serve, which may lead to higher levels of delinquencies or defaults than we have historically experienced. Failure to accurately predict demand or growth with respect to our new products and services could have an adverse impact on our business, and there is always risk that these new products and services will be unprofitable, will increase our costs or will decrease our operating margins or take longer than anticipated to achieve target margins. Further, our development efforts with respect to these initiatives could distract management from current operations and could divert capital and other resources from our existing business. If we do not realize the expected benefits of our investments and development of new products and services, our business may be harmed.</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Our financial performance is dependent on our ability to successfully refer users to financial services partners, and these partners are not precluded from offering products and services outside of our platform.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the quality of our products, expand our product offerings or continue technological innovation and improvements, our prospects for future growth may be harmed.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offering a multitude of products to consumers across all financial verticals. If we fail to successfully anticipate and identify new trends, products and emerging financial services providers, and provide up-to-date educational content, tools and other relevant resources timely, our ability to engage consumers and financial services providers may suffer, which would harm our business, financial condition and results of operations.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current lack of geographic diversity exposes us to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geographically limited and primarily dependent upon consumers and economic conditions in the U.S. As a result of this geographical concentration, we are more vulnerable to downturns or other conditions that affect the U.S. economy. Any downturn or other adverse conditions in the U.S. economy could harm our business and financial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the UK, Canadian and Australian markets, and we believe our growth strategy depends, in part, on our continued international expansion. As we expand internationally, we will be vulnerable to economic downturns or other conditions that affect the domestic markets in the countries where we expand. However, until our international operations grow significantly, we will continue to be primarily dependent on U.S. consumers and U.S. economic conditions.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less experience operating in some of the newer market verticals and products to which we have expanded.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expanded to new verticals and products over the last several years. We do not have as much experience with these newer verticals and products as we do with the other more established verticals on our platform. Accordingly, newer verticals and products may be subject to greater risks than the more established verticals on our platform.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entry into new verticals and products will depend on a number of factors, including:</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Implementing in a cost effective manner product features expected by consumers and financial services providers;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Market acceptance of an intermediary by consumers and financial services providers;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Offerings by current and future competitors;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innovate and disrupt markets by offering or creating new and compelling products for consumers;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attract and retain management and other skilled personnel;</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collect amounts owed to us from our financial services partners;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develop successful and cost-effective marketing campaigns;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timely adjust marketing expenditures in relation to changes in demand for the underlying products and services offered by our financial services partners in these newer verticals.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suffer if we fail to successfully anticipate and manage these issues associated with expansion into new verticals.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the value that we provide to consumers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track certain operational metrics,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Industry and the Consumer Finance Economy</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Macroeconomic developments such as inflationary conditions and the current interest rate environment in the U.S. have caused macroeconomic uncertainty and may have an adverse impact on our business, results of operations and our vertical diversification strategy.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began our business with our credit card vertical and have since grown our business to include seven additional verticals: mortgages, insurance, SMB products, personal loans, banking, investing and student loans. We believe that our vertical diversification strategy has allowed us to navigate different kinds of macroeconomic conditions; in the recent past underperformance in one vertical has been offset by overperformance in another. For example, during the COVID-19 pandemic in 2020 when our credit card vertical was under pressure, other verticals such as the investing vertical and mortgage vertical were strong. Similarly in 2022, as interest rates began to increase and the mortgage and investing verticals were impacted, the credit card and SMB product verticals were strong. We cannot, however, guarantee that this offsetting between our verticals will continue or that our business model will be able to withstand the various macroeconomic developments we may see in the future. During 2023 we saw that increasing interest rates both put pressure on our loans verticals and drove strength in our banking vertical, continuing the offsetting we have seen in the past. After the regional bank failures that began in the spring of 2023, however, increasing issuer conservatism caused our credit card vertical revenue to begin to decline without any offsetting overperformance in another vertical. Continued inflationary conditions, high interest rates, and a tightening of credit markets would pose challenges to our business and may impact many of our verticals and may not be offset by performance in other verticals. Further, an unexpected or prolonged economic downturn, or rapidly rising or sustained high unemployment, would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Adverse conditions in the consumer finance markets, or poor or uncertain macroeconomic conditions, could harm our business, financial condition and results of operations if our financial services partners reduce their marketing budgets and decrease spending on our platform.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earn fees from our financial services partners by matching users with their products. Thus, our business is dependent on the consumer finance markets and the demand for the products offered by our financial services partners. While we have not experienced a prolonged economic downturn since our founding following the Great Recession, we did see impact from the regional bank failures in the spring of 2023 in the form of increased conservatism by our financial services partners that led them to decrease their spending on our platform. We would expect a prolonged market downturn to lead our financial services partners to tighten underwriting standards making it more difficult for users to be matched with their products and to implement cost-reduction initiatives that reduce or eliminate marketing budgets. Both of these actions would lead to decreased monetization on our platform and could adversely affect our business, financial condition and results of operations.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Changes in the loan markets could harm our business, financial condition and results of operations.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loan market, including student loans, business loans, mortgages and personal loans, is an important part of our business. Fluctuations and constraints in the loan markets in the past have harmed, and may in the future, harm our business, financial condition and results of operations. Economic factors such as increased interest rates, slow economic growth or recessionary conditions, the pace of home price appreciation or the lack of it, changes in household debt levels, and increased unemployment or stagnant or declining wages can affect the loan markets by impacting the number of loan applications and loan approval rates which can adversely affect our business. Although the U.S. Federal Reserve decreased the benchmark federal funds rate in 2024, we expect that future interest rate increases and continued conservatism by our financial services partners would negatively impact our loans and SMB product verticals by both reducing demand for loan products and reducing the supply of credit available, making it more difficult for us to match consumers and small and mid-sized businesses with financial services products.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Regulation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a variety of financial regulations in the U.S., Canada, Australia, and the UK, many of which are overlapping, ambiguous and still developing, which could subject us to claims or otherwise harm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Aspects of our business are subject to a variety of federal, state and provincial financial and other laws in the U.S., Canada, Australia and UK, including laws, authorizations, and state or provincial licensing requirements relating to matching consumers with financial services providers; the marketing of mortgages, credit cards, personal loans, insurance, and other financial products and services; the manner in which we conduct our loan origination and servicing businesses and the fees that we may charge; the collection, use, retention, protection, disclosure, transfer and other processing of consumer personal information;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We also anticipate that U.S. federal regulators relevant to our business, such as the FTC and the CFPB, may pursue more enforcement actions. In addition, the government and regulatory authorities in the UK, Canada, Australia and U.S. including the respective federal agencies, state and provincial legislatures and regulators may from time to time enact new laws, regulations or guidance that may harm our business.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Failure to obtain proper business licenses or other documentation, or to otherwise comply with local laws and requirements regarding marketing or matching consumers with financial services providers, may result in civil or criminal penalties and restrictions on our ability to conduct business in that jurisdiction.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The UK, Canada, and Australia also have licensure requirements in order to solicit or offer qualitative assessments and comparison of certain financial products, such as loans secured by residential mortgages, consumer loans, credit cards, and insurance.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promulgated by some states or jurisdictions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reputation and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use and process personal information and other user data, including financial information, credit report information and other sensitive information for our users. We rely on this data provided to us by users and third parties to offer, improve and innovate our products. If we are unable to maintain and grow such data, we may be unable to provide consumers with a platform experience that is relevant, efficient and effective, which could adversely affect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federal, state and local laws and regulations regarding data privacy and the collection,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such laws. We are also subject to the terms of our privacy policies and privacy-related obligations to third parties, and, given the evolving regulatory environment, we expect a heightened level of scrutiny on the data we handle. It is possible that these laws, regulations, and other obligations may be interpreted and applied in a manner that is inconsistent from one regulatory body to another and may conflict with other rules or our practices.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the jurisdictions in which we operate have established their own data privacy and security legal frameworks. For example, in the U.S., we are subject to the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that are not otherwise subject to the GLBA or FCRA may be subject to additional laws and regulations. For example, the CCPA created new data privacy rights for California-resident users that were expanded when the California Privacy Rights Act went into effect in 2023. In addition, a growing number of states have passed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are expected to pass their own respective privacy laws. These laws, as well as any associated regulations, create a patchwork that poses challenges for our business and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expand internationally, we will also be subject to international laws regarding privacy and the storing, sharing, use, processing, disclosure and protection of personal information and other user data. For example, following our expansion into the UK market, we became subject to the privacy, data security, and data protection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aftermath of the UK’s withdrawal from the EU in January 2020 (an event commonly referred to as Brexit), there was uncertainty with regard to the regulation of data protection in the UK. Since then, the UK underwent efforts to introduce post-Brexit data protection reform in the form of the Data Protection and Digital Information (No. 2) Bill which is intended to supersede the UK’s version of the GDPR. The Data Protection and Digital Information (No. 2) Bill, however, did not complete before Parliament was dissolved on May 24, 2024 and is no longer being progressed. In October 2024, the House of Lords conducted the first reading of a new legislation – the Data (Use and Access) Bill (the Bill). Although less extensive than the previous government’s proposed legislation, the new Bill still envisages a significant number of changes to UK data protection law. As a result, we may face challenges in addressing and implementing the requirements of the proposed new law in light of uncertainty over its interpretation and application to data transfer, privacy, data protection, and information security in the UK, and may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and actively taking steps to comply with evolving UK privacy laws on cookies and e-marketing. In the UK,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negatively impact our efforts to understand users and match them with products.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failure to comply with economic and trade sanctions laws and regulations of the United States could materially adversely affect our reputation,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Human Capital</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depend on our executive team and other key employees to manage the business and the loss of one or more of these employees or an inability to attract and retain highly skilled employees could materially harm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our senior management, including Tim Chen, our Co-founder, Chief Executive Officer and Chairman of our Board of Directors,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face stiff competition for qualified personnel and if we fail to attract new personnel or fail to retain and motivate our current personnel, our business, financial condition and results of operations could be materially and adversely affected.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which may make them more attractive to candidates.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have transitioned to being a remote-first company, which could result in reduced morale and cohesiveness and increased cybersecurity risk, which could negatively affect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onset of the COVID-19 pandemic we transitioned all of our employees to a remote work environment in order to mitigate the spread of COVID-19 and comply with local shelter in place policies. Subsequently we transitioned to being a remote-first company, allowing for almost all roles to be open to remote employees on an ongoing basis. The transition to being a remote-first company may lead to reduced employee morale or cohesiveness among our employees. In addition, our new remote-first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across various time zones, any of which could adversely affect our business. As a result, our culture, information technology requirements, cybersecurity risk, and business operations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Technology, Security and Intellectual Property</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Security incidents, or real or perceived errors, failures or bugs in our systems and platform could impair our operations, compromise our confidential information or our users’ personal information, damage our reputation and brand, and harm our business and operating results.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continued success depends on our systems, applications, and software continuing to operate and to meet the changing needs of our users and financial services partners. We rely on our technology and engineering staff and third party services providers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personnel,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 allowing malfeasors to use time to their advantage.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users’ confidential and personal information under our control, we cannot assure you that any security measures that we or our third party service providers have implemented will be effective against current or future security threats.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security breach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users and financial services partners that our digital platform is not safe to use. Security incidents could also damage our IT systems and our ability to make the financial reports and other public disclosures required of public companies. These risks are likely to continue to increase as we continue to grow and process, store and transmit increasingly larger volumes of data.</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service providers to support our platform and information technology systems.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service providers to provide critical services that help us deliver our products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third party service providers may be susceptible to operational, technological and security vulnerabilities, including security breaches or other security incidents that compromise the confidentiality, integrity or availability of the systems they operate for us or the information they process on our behalf. In addition, these providers may rely on subcontractors to provide services to us that face similar risks. Our ability to monitor our third-party service providers’ data security is limited and yet such occurrences could adversely affect our business to the same degree as if we had experienced these occurrences directly. Although we incorporate contractual provisions that require that our providers and their subcontractors protect our data and information, including personal data, 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loss of reputation and consumer trust and subject us to customer complaints, significant fines, litigation, disputes, claims, and regulatory investigations or other inquiries. Furthermore,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contractual protections such as a counterparty’s obligation to indemnify us may not be sufficient to protect us if our counterparty doesn’t have adequate resources or if we are unable to enforce such protections.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Claims by others that we infringed their proprietary technology or other intellectual property rights could harm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Failure to protect or enforce our intellectual property rights could harm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 information nor deter independent development of similar technologies by others. Failure to protect or maintain our intellectual property could harm our business, financial condition and results of operations.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license third-party software and other intellectual property for use in connection with our platform, including for various third party product integrations with our platform. Our third-party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and/or result in fines and other damages. If any of the following were to occur, it could harm our business, financial results and our reputation.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their terms of service, guidelines or policies, or their interpretation of these,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Some of our products and services contain open source software, which may pose particular risks to our proprietary software, products, and services in a manner that could have a negative effect on our business.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procedures, or will not subject us to liability. Any of these risks could be difficult to eliminate or manage, and, if not addressed, would have a negative effect on our business, financial condition and operating results.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Operations and Accounting Matters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Our debt agreements contain certain restrictions that may limit our ability to operate our business.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our credit agreement, as amended, and the related collateral documents with JPMorgan Chase Bank, N.A. (JPM)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repurchasing stock, making investments and agreeing to do any of the foregoing, in each case subject to certain exceptions. Our credit agreement also contains financial covenants which require us to comply with a maximum total net leverage and minimum fixed charge coverage ratios.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JPM and/or our lenders under the credit agreement could elect to declare all amounts outstanding under the credit agreement, if any, to be immediately due and payable and terminate all commitments to extend further credit. If we were unable to repay those amounts, JPM and our lenders could proceed against the collateral granted to them to secure such indebtedness, which consists of all of our assets. We have, and certain of our subsidiaries have, pledged substantially all of our respective assets as collateral under the loan documents. If JPM and our lenders accelerate the repayment of borrowings, if any, we may not have sufficient funds to repay our debt.</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debt agreement may not be sufficient for our capital needs and we may require additional capital to support business growth, which might not be available on acceptable terms, if at all.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unanticipated costs or liabilities associated with the acquisition, including claims related to the acquired company, its product offerings, or technology;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incurrence of acquisition-related or investment-related expenses, which would be recognized as a current period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inability to generate sufficient revenue to offset acquisition or investment costs;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inability to maintain relationships with customers and partners of the acquired business;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challenges maintaining quality and security standards consistent with our brand;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inability to identify security vulnerabilities in acquired technology;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inability to achieve anticipated synergies or unanticipated difficulty with integration into our corporate culture;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need to integrate or implement additional controls, procedures, and policies;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challenges caused by distance and cultural differences;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harm to our existing business relationships with business partners as a result of the acquisition or investment;</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potential loss of key employees;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use of resources that are needed in other parts of our business and diversion of management and employee resources;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unanticipated complexity in accounting requirements;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use of substantial portions of our available cash or the incurrence of debt to consummate the acquisition;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disputes that may arise out of earn-outs, escrows, and other arrangements related to an acquisition of a company.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Expenses or liabilities resulting from litigation could materially adversely affect our results of operations and financial condition.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may not continue to grow at historical rates or achieve or maintain profitability in the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a decline in the number of users, increasing competition, and other risks described in these Risk Factors. We may also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made significant estimates and judgments in calculating our income tax provision and other tax assets and liabilities. If these estimates or judgments are incorrect, our operating results and financial condition may be materially affected.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 amounts recorded in our financial statements and may have a material effect on our operating results and financial condition.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Utilization of our net operating loss carryforwards, as well as of our other temporary differences, is dependent upon the generation of sufficient future taxable income during the periods in which those temporary differences become deductible. Management considers projected future taxable income and tax-planning strategies in making this assessment. 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be realized, and we recorded a release of the valuation allowance against these net U.S. deferred tax assets as of December 31, 2024. Our judgment regarding the likelihood of realization of these deferred tax assets could change in future periods, which could result in a material impact to our income tax provision in the period of change.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our Co-Founder, Chief Executive Officer and Chairman of our Board of Directors, Tim Chen, which will limit or preclude your ability to influence corporate matters.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ten votes per share and our Class A common stock has one vote per share. Tim Chen, our Co-founder, Chief Executive Officer and Chairman of our Board of Directors and his affiliated trusts hold all outstanding shares of Class B common stock, which as of December 31, 2024 constituted approximately 87.5% of the voting power of our outstanding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governance matters, transactions and all matters submitted to a vote of our stockholders, for the foreseeable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Class A common stock, subject to limited exceptions, such as certain transfers effected for tax or estate planning purposes. In addition, Mr. Chen’s and his affiliated trusts’ shares of Class B common stock will automatically convert into Class A common stock, on a one-to-one basis, upon any sale or transfer of the applicable shares (other than transfers to certain permitted entities) or upon his death.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 continue to have the ability to exercise the same significant voting power and potentially control the outcome of all matters submitted to our stockholders for approval.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our Chief Executive Officer, Mr. Chen also has control over our day-to-day management and the implementation of major strategic investments of our company, subject to authorization and oversight by our Board of Directors. As a board member 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aligned with the interests of our stockholders generally.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Nasdaq Listing Rules and, as a result, we are exempt from certain corporate governance requirements.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Chen and his affiliated trusts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for the election of directors is held by an individual, group or another company is a “controlled company” and may elect not to comply with certain Nasdaq corporate governance requirements, including:</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requirement that a majority of our Board of Directors consist of “independent directors” as defined under Nasdaq Listing Rules;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requirement that we have a compensation committee that is composed entirely of independent directors;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requirement that we have a nominating and corporate governance committee or otherwise have director nominees selected by vote of a majority of the independent directors.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availed ourselves of some of these exemptions. As a result, we do not have a nominating and corporate governance committee or an independent nominating function. Our full Board of Directors is directly responsible for nominating members of our board.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as a controlled company, we remain subject to the rules of Sarbanes-Oxley as well as the Nasdaq Listing Rules that require us to have an audit committee composed entirely of independent directors, subject to permitted phase-in rules. Our audit committee is comprised of three members, all of whom are independent.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 longer eligible to rely on the “controlled company” exemptions,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cannot predict the impact our dual class structure may have on the market price of our Class A common stock.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combined with the concentrated control of our Co-founder, Chief Executive Officer and Chairman of our Board of Directors,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Under such policies, our dual class capital structure would make us ineligible for inclusion in certain indexes, and as a result, mutual funds, exchange-traded funds, and other investment vehicles that attempt to passively track such indexes will not be investing in our stock. It is uncertain what effect, if any, these policies will have on the valuations of publicly traded companies excluded from the indexes, but it is possible that they may depress such valuations when compared to those of other similar companies that are included. Because of our dual class structure, we will likely be excluded from certain of these indexes, and we cannot assure you that other stock indexes will not take similar actions.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could be volatile, and you could lose all or part of your investment. The following factors, in addition to other factors described in this “Risk Factors” section may have a significant impact on the market price of our Class A common stock:</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operating and financial performance, quarterly or annual earnings relative to similar companies;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publication of research reports or news stories about us, our competitors or our industry, or positive or negative recommendations or withdrawal of research coverage by securities analysts;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announcements by us or our competitors of acquisitions, business plans or commercial relationships;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major change in our Board of Directors or senior management;</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sales of our Class A common stock by us, our directors, executive officers, principal stockholders, or senior management;</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adverse market reaction to any indebtedness we may incur or refinance or securities we may issue in the future;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short sales, hedging and other derivative transactions in our Class A common stock;</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exposure to capital market risks related to changes in interest rates, realized investment losses, credit spreads, equity prices, and foreign exchange rates;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creditworthiness, financial condition, performance, and prospects;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dividend policy and whether dividends on our Class A common stock have been, and are likely to be, declared and paid from time to time;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perceptions of the investment opportunity associated with our Class A common stock relative to other investment alternatives;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regulatory or legal developments;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changes in general market, economic, and political conditions;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conditions or trends in our industry, geographies or customers;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changes in accounting standards, policies, guidance, interpretations or principles;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threatened or actual litigation or government investigations.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on a quarterly and annual basis, which may impact our stock price and make it difficult to predict our future performance.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factors that may contribute to the variability of our quarterly and annual results include: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attract new users and retain existing users, including in a cost-effective manner;</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accurately forecast revenue and losses and appropriately plan our expenses;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effects of changes in search engine algorithms and prominence of our editorial articles in search results;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effects of increased competition on our business;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successfully maintain our position in and expand in existing markets as well as successfully enter new markets;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impact of, and changes in, governmental or other regulation affecting our business;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maintain an adequate rate of growth and effectively manage that growth;</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keep pace with technological changes in our industry;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success of our sales and marketing efforts;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protect our existing intellectual property and to create new intellectual property;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costs associated with defending claims, including accident and coverage claims, intellectual property infringement claims, misclassifications and related judgments or settlements;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effectiveness of our internal controls;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changes in our tax rates or exposure to additional tax liabilities.</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do not expect to pay any cash dividends for the foreseeable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our capital stock, and do not anticipate paying any cash dividends in the foreseeable future. We currently intend to retain future earnings, if any, to fund the development and growth of our business.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JPM and certain other lenders restrict our ability to pay dividends, and we may enter into additional agreements in the future that could also contain restrictions on payments of cash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We are an emerging growth company, and we cannot be certain if the reduced reporting requirements applicable to emerging growth companies may make our Class A common stock less attractive to investors.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of our initial public offering, although circumstances could cause us to lose that status earlier. We will remain an emerging growth company until the earlier of (1) the last day of the fiscal year (a) following the fifth anniversary of our initial public offering, (b) in which we have total annual gross revenue of at least $1.235 billion or (c) in which we are deemed to be a large accelerated filer, which requires the market value of our Class A common stock that is held by non-affiliates to exceed $700 million as of the prior June 30th, and (2) the date on which we have issued more than $1 billion in non-convertible debt during the prior three-year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As a public company, we are subject to more stringent federal and state law requirements.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have increased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disclosure of information in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prospects. </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if we are no longer an emerging growth company, and our management will be required to devote substantial time to new compliance initiatives.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404 of the Sarbanes-Oxley Act, we are required to furnish a report by our management on our internal control over financial reporting, and after becoming an accelerated filer and once we no longer qualify as an emerging growth company, our independent registered public accounting firm will also be required to provide an attestation report on our internal control over financial reporting.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Class A common stock may decline.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are no longer an emerging growth company, we will incur additional legal, accounting, and other expenses.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Class A common stock by our existing stockholders in the public market could cause our stock price to decline.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shares of Class A common stock and Class B common stock are eligible for public sale, if they are registered under the Securities Act, or if they qualify for an exemption from registration under the Securities Act, including under Rules 144 or 701. If our existing stockholders sell, or indicate an intention to sell, substantial amounts of our Class A common stock in the public market, the trading price of our Class A common stock could decline.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holders of shares of our Class A common stock are entitled to rights with respect to the registration of their shares under the Securities Act as provided under the terms of an investors’ rights agreement between us and such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registered on Form S-8 all shares of common stock that are issuable under our existing equity compensation plans, including our 2012 Equity Incentive Plan, our 2021 Equity Incentive Plan (2021 EIP) and our 2021 Employee Stock Purchase Plan (2021 ESPP). Additionally, the number of shares of our Class A common stock reserved for issuance under our 2021 EIP automatically increases on January 1 of each year, beginning on January 1, 2023, by 5% of the total number of shares of our capital stock outstanding on December 31 of the preceding calendar year, or a lesser number of shares determined by our board of directors or compensation committee. Furthermore, the number of shares of our Class A common stock reserved for issuance under our 2021 ESPP automatically increases on January 1 of each year, beginning on January 1, 2023, by the lesser of 1% of the total number of shares of our capital stock outstanding on December 31 of the preceding calendar year and 850,000 shares, or a lesser number of shares determined by our board of directors or compensation committee. Unless our board of directors elects not to increase the number of shares available for future grant each year, our stockholders may experience additional dilution. As a consequence, these shares can be freely sold in the public market upon issuance, subject to volume limitations applicable to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depends in part on the research and reports that securities or industry analysts publish about us or our business. Securities and industry analysts currently publish research on our company and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we have a dual class common stock structure, which provides Mr. Chen and his affiliated trusts with the ability to control the outcome of matters requiring stockholder approval, even if he owns significantly less than a majority of the number of shares of our outstanding Class A and Class B common stock;</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only our chairperson, our chief executive officer, a holder of more than 21.0 million shares of Class B common stock (subject to adjustment for stock splits, stock dividends, stock combinations and the like), or a majority of our Board of Directors is authorized to call a special meeting of stockholders;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stockholder approval;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certain litigation against us can only be brought in Delaware.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or in which you might otherwise receive a premium for your shares. These provisions may also prevent changes in our management or limit the price that investors are willing to pay for our stock.</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breach of the director’s duty of loyalty to the corporation or its stockholders;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unlawful payments of dividends or unlawful stock repurchases or redemptions; or</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transaction from which the director derived an improper personal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Such limitation of liability does not apply to liabilities arising under federal securities laws and does not affect the availability of equitable remedies such as injunctive relief or rescission.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maintain directors’ and officers’ liability insurance, such insurance may not be adequate to cover all liabilities that we may incur, which may reduce our available funds to satisfy third-party claims and may adversely impact our cash position.</w:t>
      </w:r>
    </w:p>
    <w:p>
      <w:pPr>
        <w:pStyle w:val="TextBody"/>
        <w:bidi w:val="0"/>
        <w:spacing w:lineRule="auto" w:line="288" w:before="12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derivative claim or cause of action brought on our behalf;</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claim or cause of action for breach of a fiduciary duty owed by any of our current or former directors, officers or other employees to us or our stockholders;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claim or cause of action against us or any of our current or former directors, officers or other employees, arising out of or pursuant to any provision of the DGCL, our certificate of incorporation or our bylaws;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claim or cause of action seeking to interpret, apply, enforce or determine the validity of our certificate of incorporation or our bylaws;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action or proceeding as to which the DGCL confers jurisdiction to the Court of Chancery of the State of Delaware;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NerdWallet, Inc. recognizes the importance of developing, implementing, and maintaining robust cybersecurity measures to safeguard our information systems and protect the confidentiality, integrity, and availability of our data and that of our users.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the National Institute of Standards and Technology - Cybersecurity Framework (NIST-CSF) to guide our risk assessment and management and promote a company-wide cybersecurity risk management culture. Our cybersecurity team works closely with our information technology (IT) department to continuously evaluate and address cybersecurity risks in alignment with our business objectives and operational needs.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Engagement of Third Parties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enlist third-party cybersecurity assessors and consultants to evaluate and test both our risk management systems and the third-party risk management systems of our business partners. Through these collaborations, we tap into specialized knowledge and insights, helping us gauge the effectiveness of our cybersecurity strategies and processes. The findings from these assessments guide our decision-making and planning processes, influencing how we set priorities and allocate resources.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Overseeing Third-party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Before partnering with third-party providers, we conduct a thorough examination of their cybersecurity program, policies, and practices. This includes a review of their SOC 2 reports and any available penetration tests. Additionally, we actively monitor our primary service providers and regularly obtain security control reports from them. We also employ real-time monitoring to detect any suspicious activity promptly. This approach is implemented to minimize risks associated with data breaches or other security incidents that may arise from third-party sources.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Risks from Cybersecurity Threats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no cybersecurity incident or any risk from cybersecurity threats has materially affected, or has been determined to be reasonably likely to materially affect, us or our operations or financial condition.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recognizes the critical importance of managing cybersecurity risks and has implemented robust oversight mechanisms designed to ensure effective governance in this area.</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Audit Committee Oversight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comprising Board members with diverse experience in risk management, IT, cybersecurity, and finance, is directly responsible for overseeing cybersecurity risks. Our Chief Information Security Officer (CISO) provides comprehensive quarterly presentations to the Audit Committee, covering ongoing cybersecurity initiatives, strategies, and emerging threats. The Committee reports significant matters to the full board, and the CISO also delivers an annual presentation to the Board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Management’s Vigilance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Security Council, led by the CISO with representatives from our engineering, corporate IT, security, legal, human resources, and internal audit teams, diligently reviews and assesses cybersecurity plans, risks, and incidents on a monthly basis. Any substantial risk incident is escalated to the executive team, disclosure committee, and potentially the full Board, if deemed material. Regular communication between the CISO and the Chief Legal Officer, Chief Financial Officer, and Chief Executive Officer ensures top management is well-informed about NerdWallet's cybersecurity posture and potential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Risk Management Leadership</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responsibility for assessing, monitoring, and managing our cybersecurity risks lies with our highly experienced CISO. With two decades of cybersecurity expertise, including multiple CISO roles, our CISO plays a pivotal role in developing and executing our cybersecurity strategies. His responsibilities include overseeing governance programs, addressing known risks, leading employee security training, and executing the incident response plan in case of a cybersecurity incident.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2. Properties.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offices in San Francisco, California, New York, New York, Scottsdale, Arizona, Bingham Farms, Michigan, and Norwich, UK. We lease all of our facilities and do not own any real property. We have a remote-first policy that allows for almost all roles to be remote on an ongoing basis. As a result, most of our employees transitioned or were hired into permanent remote status and are not required to report to an office for work. See discussion of our lease commitments in Note 9–Leases in the notes to consolidated financial statements in Item 8 of Part II of this Annual Report on Form 10-K. 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See further discussion under “Litigation and Other Legal Matters” in Note 8–Commitments and Contingencies in the notes to consolidated financial statements in Item 8 of Part 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283"/>
        <w:jc w:val="center"/>
        <w:rPr>
          <w:rFonts w:ascii="Times New Roman;sans-serif" w:hAnsi="Times New Roman;sans-serif"/>
          <w:b/>
          <w:color w:val="000000"/>
          <w:sz w:val="24"/>
        </w:rPr>
      </w:pPr>
      <w:r>
        <w:rPr>
          <w:rFonts w:ascii="Times New Roman;sans-serif" w:hAnsi="Times New Roman;sans-serif"/>
          <w:b/>
          <w:color w:val="000000"/>
          <w:sz w:val="24"/>
        </w:rPr>
        <w:t>Part II</w:t>
      </w:r>
    </w:p>
    <w:p>
      <w:pPr>
        <w:pStyle w:val="TextBody"/>
        <w:bidi w:val="0"/>
        <w:spacing w:before="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has been listed on the Nasdaq Global Market under the symbol “NRDS” since November 4, 2021. Prior to that date, there was no public trading market for our Class A common stock.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is neither listed nor publicly traded.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Holders of Our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14, 2025, there were 99 stockholders of record of our Class A common stock. The actual number of stockholders is greater than this number of record holders and includes stockholders who are beneficial owners but whose shares are held in street name by brokers and other nominees.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14, 2025, there were nine stockholders of record of our Class B common stock, all of which are trusts affiliated with Tim Chen, our Chief Executive Officer and the Chairman of the Board of Directors.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JPM and certain other lenders restrict our ability to pay dividends, and we may enter into additional agreements in the future that could also contain restrictions on payments of cash dividends.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equity securities during the year ended December 31, 2024.</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 activity for the three months ended December 31, 2024:</w:t>
      </w:r>
    </w:p>
    <w:tbl>
      <w:tblPr>
        <w:tblW w:w="10205" w:type="dxa"/>
        <w:jc w:val="left"/>
        <w:tblInd w:w="0" w:type="dxa"/>
        <w:tblLayout w:type="fixed"/>
        <w:tblCellMar>
          <w:top w:w="28" w:type="dxa"/>
          <w:left w:w="28" w:type="dxa"/>
          <w:bottom w:w="28" w:type="dxa"/>
          <w:right w:w="28" w:type="dxa"/>
        </w:tblCellMar>
      </w:tblPr>
      <w:tblGrid>
        <w:gridCol w:w="346"/>
        <w:gridCol w:w="304"/>
        <w:gridCol w:w="311"/>
        <w:gridCol w:w="109"/>
        <w:gridCol w:w="109"/>
        <w:gridCol w:w="109"/>
        <w:gridCol w:w="469"/>
        <w:gridCol w:w="469"/>
        <w:gridCol w:w="471"/>
        <w:gridCol w:w="109"/>
        <w:gridCol w:w="109"/>
        <w:gridCol w:w="109"/>
        <w:gridCol w:w="297"/>
        <w:gridCol w:w="869"/>
        <w:gridCol w:w="153"/>
        <w:gridCol w:w="109"/>
        <w:gridCol w:w="109"/>
        <w:gridCol w:w="109"/>
        <w:gridCol w:w="807"/>
        <w:gridCol w:w="807"/>
        <w:gridCol w:w="810"/>
        <w:gridCol w:w="109"/>
        <w:gridCol w:w="109"/>
        <w:gridCol w:w="109"/>
        <w:gridCol w:w="667"/>
        <w:gridCol w:w="1620"/>
        <w:gridCol w:w="497"/>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Average Price Paid per Share</w:t>
            </w:r>
            <w:r>
              <w:rPr>
                <w:rFonts w:ascii="Times New Roman;sans-serif" w:hAnsi="Times New Roman;sans-serif"/>
                <w:b/>
                <w:i/>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Total Number of Shares Purchased as Part of Publicly Announced Plans or Programs</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Approximate Dollar Value of Shares That May Yet Be Purchased Under the Plans or Programs</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On May 2, 2023, we announced that our Board of Directors authorized a plan under which we may repurchase up to $20 million of our Class A common stock and, following our utilization of that share repurchase authorization, we announced on October 26, 2023, September 9, 2024 and October 29, 2024 that our Board of Directors approved additional share repurchase authorizations under which we may repurchase up to an additional $30 million, $50 million and $25 million, respectively, of our Class A common stock (collectively, the Repurchase Program).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under the Repurchase Program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Average price paid per share includes costs associated with the repurchases.</w:t>
      </w:r>
    </w:p>
    <w:p>
      <w:pPr>
        <w:pStyle w:val="TextBody"/>
        <w:bidi w:val="0"/>
        <w:spacing w:before="0" w:after="18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“filed” with the SEC for purposes of Section 18 of the Exchange Act, and shall not be deemed to be incorporated by reference into any of our filings under the Securities Act or the Securities Exchange Act.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shows the cumulative total stockholder return on our Class A common stock between November 4, 2021 (the date that our Class A common stock commenced trading on the Nasdaq Global Market) through December 31, 2024 in comparison to the Nasdaq Composite Index and the S&amp;P 500 Index. The graph assumes that $100 was invested in each of our Class A common stock, the Nasdaq Composite Index and the S&amp;P 500 Index at their respective closing prices on November 4, 2021. The graph uses the closing market price on November 4, 2021 of $28.30 per share as the initial value of our Class A common stock. Data for the Nasdaq Composite Index and S&amp;P 500 Index assume reinvestment of dividends. The comparisons shown in the graph are not intended to forecast or be indicative of the future performance of our common stock.</w:t>
      </w:r>
    </w:p>
    <w:p>
      <w:pPr>
        <w:pStyle w:val="TextBody"/>
        <w:bidi w:val="0"/>
        <w:spacing w:before="0" w:after="120"/>
        <w:ind w:left="0" w:right="0" w:firstLine="360"/>
        <w:jc w:val="center"/>
        <w:rPr/>
      </w:pPr>
      <w:r>
        <w:rPr/>
        <w:drawing>
          <wp:inline distT="0" distB="0" distL="0" distR="0">
            <wp:extent cx="5838825" cy="361950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reflect our current plans, estimates and beliefs, and involve risks and uncertainties. Our actual results and the timing of certain events could differ materially from those anticipated in these forward-looking statements as a result of various factors, including but not limited to those discussed in the sections titled “Special Note Regarding Forward-Looking Statements” and “Risk Factors” in this Annual Report on Form 10-K. </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historical results are not necessarily indicative of the results that may be expected for any period in the future. Except as otherwise noted, all references to 2024 refer to the year ended December 31, 2024, references to 2023 refer to the year ended December 31, 2023, and references to 2022 refer to the year ended December 31, 2022. </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 discussion and analysis of our financial condition and results of operations for the year ended December 31, 2024 compared to the year ended December 31, 2023 is presented below. For a discussion of our financial condition and results of operations for the year ended December 31, 2023 compared to the year ended December 31, 2022, see “Management’s Discussion and Analysis of Financial Condition and Results of Operations”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clarity for all of life’s financial decisions.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vision is a world where everyone makes financial decisions with confidence.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NerdWallet, we empower consumers—both individuals and small and mid-sized businesses (SMBs)—to make smarter financial decisions with confidence via our digital platform. Technology, paired with the dramatic growth in innovative financial products, has changed the way consumers manage their financial lives; consumers are more comfortable than ever comparing and shopping for financial products online. At NerdWallet, we are leveraging this transformation to democratize access to trustworthy financial guidance by incorporating our proprietary data science models into our platform—ultimately helping to improve the financial well-being of consumers and the financial services industry as a whole. In addition to our historical offerings, with our acquisition of Next Door Lending LLC (NDL) in October 2024, we expanded our offerings in the mortgage space to include mortgage lending services.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guidance to consumers through educational content, tools and calculators, product marketplaces and our app. Our platform delivers unique value across many financial products, including credit cards, mortgages, insurance, SMB products, personal loans, banking, investing and student loans. We expanded our guidance to the United Kingdom (UK) with our acquisition of Know Your Money (KYM) in 2020, and expanded organically into Canada during 2021 as well as Australia during 2022. Across every touchpoint, the cornerstone of our platform is consumers’ trust in the independent, objective and relevant guidance we provide, free of charge. </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This trusted guidance has helped us build a large, loyal and well-informed audience of consumers who turn to us as a resource for many of their money questions and to shop for the best financial products for them. Due to this unique combination of a loyal audience, trusted guidance and tailored recommendations from our underlying machine learning technology, we have become an attractive partner for financial services providers wanting to access these high-value consumers—consumers who might not otherwise trust </w:t>
      </w:r>
      <w:r>
        <w:rPr>
          <w:rFonts w:ascii="Times New Roman;sans-serif" w:hAnsi="Times New Roman;sans-serif"/>
          <w:b w:val="false"/>
          <w:color w:val="000000"/>
          <w:sz w:val="20"/>
          <w:shd w:fill="FFFFFF" w:val="clear"/>
        </w:rPr>
        <w:t>financial services providers’ recommendations.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By operating at the intersection of consumers and financial services providers, NerdWallet drives value for both. Through our platform, our financial services partners can reach a substantial audience. After doing research on our platform, consumers are better informed about the financial decision they’re about to make, which makes them primed and ready to transact. Consumers who visit NerdWallet tend to share a few other characteristics that make them attractive customers to our financial services partners: we have received feedback from our financial services partners that </w:t>
      </w:r>
      <w:r>
        <w:rPr>
          <w:rFonts w:ascii="Times New Roman;sans-serif" w:hAnsi="Times New Roman;sans-serif"/>
          <w:b w:val="false"/>
          <w:color w:val="000000"/>
          <w:sz w:val="20"/>
          <w:shd w:fill="FFFFFF" w:val="clear"/>
        </w:rPr>
        <w:t xml:space="preserve">our </w:t>
      </w:r>
      <w:r>
        <w:rPr>
          <w:rFonts w:ascii="Times New Roman;sans-serif" w:hAnsi="Times New Roman;sans-serif"/>
          <w:b w:val="false"/>
          <w:color w:val="000000"/>
          <w:sz w:val="20"/>
        </w:rPr>
        <w:t>users’</w:t>
      </w:r>
      <w:r>
        <w:rPr>
          <w:color w:val="000000"/>
          <w:shd w:fill="FFFFFF" w:val="clear"/>
        </w:rPr>
        <w:t xml:space="preserve"> </w:t>
      </w:r>
      <w:r>
        <w:rPr>
          <w:rFonts w:ascii="Times New Roman;sans-serif" w:hAnsi="Times New Roman;sans-serif"/>
          <w:b w:val="false"/>
          <w:color w:val="000000"/>
          <w:sz w:val="20"/>
          <w:shd w:fill="FFFFFF" w:val="clear"/>
        </w:rPr>
        <w:t xml:space="preserve">approval rates can be significantly higher than those applying through other channels and they are more eager </w:t>
      </w:r>
      <w:r>
        <w:rPr>
          <w:rFonts w:ascii="Times New Roman;sans-serif" w:hAnsi="Times New Roman;sans-serif"/>
          <w:b w:val="false"/>
          <w:color w:val="000000"/>
          <w:sz w:val="20"/>
        </w:rPr>
        <w:t xml:space="preserve">to explore additional opportunities and products, driving demand for NerdWallet’s financial services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Financial Model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built our business to provide unbiased and trusted guidance to consumers. Through this guidance, we attract users to our platform and use data science models to match them with relevant products from our financial services partners.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our mission is to provide clarity for all of life’s financial decisions, we take actions that aim to prioritize user experience over revenue per user. We believe that taking a long-term view will increase our revenue and grow our business. In addition, we do not always look to maximize the number of our financial services partners on our platform; we instead aim to have products for consumers available on our platform that enable the best match.</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We seek to increase the number of consumers who come to NerdWallet pursuing our financial content, guidance, and tech-driven recommendations. We generate revenue by successfully matching those consumers with our financial services partners, from whom we generate fees.</w:t>
      </w:r>
      <w:r>
        <w:rPr>
          <w:color w:val="000000"/>
          <w:shd w:fill="FFFFFF" w:val="clear"/>
        </w:rPr>
        <w:t xml:space="preserve"> </w:t>
      </w:r>
      <w:r>
        <w:rPr>
          <w:rFonts w:ascii="Times New Roman;sans-serif" w:hAnsi="Times New Roman;sans-serif"/>
          <w:b w:val="false"/>
          <w:color w:val="000000"/>
          <w:sz w:val="20"/>
          <w:shd w:fill="FFFFFF" w:val="clear"/>
        </w:rPr>
        <w:t>These fees from which we recognize revenue include revenue per action, revenue per click, revenue per lead, and revenue per funded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Ability to Generate High Quality, Engaging Consumer Resources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Delivering financial guidance and resources on a broad set of topics is core to our value proposition. In order to maintain our position as a trusted destination for personal and SMB financial guidance, we produce high-quality financial guidance, which is developed by our independent team of writers and editors. Our editorial and product teams continuously improve our content, tools and resources to ensure that our platform reflects the latest consumer finance trends and related products from our financial services partners. We plan to continue investing in our growing base of high-value content and tools, which enable us to generate more traffic, enhancing monetizing activities with our financial services partners and ultimately, our financial performance.</w:t>
      </w:r>
    </w:p>
    <w:p>
      <w:pPr>
        <w:pStyle w:val="TextBody"/>
        <w:bidi w:val="0"/>
        <w:spacing w:lineRule="auto" w:line="288" w:before="0" w:after="180"/>
        <w:jc w:val="left"/>
        <w:rPr/>
      </w:pPr>
      <w:r>
        <w:rPr>
          <w:rFonts w:ascii="Times New Roman;sans-serif" w:hAnsi="Times New Roman;sans-serif"/>
          <w:b/>
          <w:i/>
          <w:color w:val="000000"/>
          <w:sz w:val="20"/>
        </w:rPr>
        <w:t>Ability to Attract and Engage Consumers</w:t>
      </w:r>
      <w:r>
        <w:rPr>
          <w:color w:val="000000"/>
        </w:rPr>
        <w:t xml:space="preserv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increase user engagement, whether by increasing the frequency with which consumers and SMBs visit our platform, or the amount of resources they consume on our platform, is critical to the growth of our business. We focus on attracting users to NerdWallet who are interested in multiple financial products that we review and then use machine learning to help them find financial products for their needs. For example, if an individual comes to our platform to learn more about credit cards, we hope to bring that individual back to NerdWallet at a later time to explore other financial products, often via automated contextual “nudges.” Our ability to attract and engage those visitors directly impacts our ability to earn revenue from financial services partners. As such, we plan to continue investing in content, technology and marketing in order to attract and engage consumers.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Ability to Deepen Our Relationships with Our Financial Services Partners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We worked wit</w:t>
      </w:r>
      <w:r>
        <w:rPr>
          <w:rFonts w:ascii="Times New Roman;sans-serif" w:hAnsi="Times New Roman;sans-serif"/>
          <w:b w:val="false"/>
          <w:color w:val="000000"/>
          <w:sz w:val="20"/>
          <w:shd w:fill="FFFFFF" w:val="clear"/>
        </w:rPr>
        <w:t>h hundreds of financial</w:t>
      </w:r>
      <w:r>
        <w:rPr>
          <w:color w:val="000000"/>
        </w:rPr>
        <w:t xml:space="preserve"> </w:t>
      </w:r>
      <w:r>
        <w:rPr>
          <w:rFonts w:ascii="Times New Roman;sans-serif" w:hAnsi="Times New Roman;sans-serif"/>
          <w:b w:val="false"/>
          <w:color w:val="000000"/>
          <w:sz w:val="20"/>
        </w:rPr>
        <w:t xml:space="preserve">services partners during 2024. These companies are essential to helping us serve consumers </w:t>
      </w:r>
      <w:r>
        <w:rPr>
          <w:rFonts w:ascii="Times New Roman;sans-serif" w:hAnsi="Times New Roman;sans-serif"/>
          <w:b w:val="false"/>
          <w:color w:val="000000"/>
          <w:sz w:val="20"/>
          <w:shd w:fill="FFFFFF" w:val="clear"/>
        </w:rPr>
        <w:t>and grow our business</w:t>
      </w:r>
      <w:r>
        <w:rPr>
          <w:rFonts w:ascii="Times New Roman;sans-serif" w:hAnsi="Times New Roman;sans-serif"/>
          <w:b w:val="false"/>
          <w:color w:val="000000"/>
          <w:sz w:val="20"/>
        </w:rPr>
        <w:t>. Having a broad range of financial services partners across all of our verticals is important in offering consumers a wide selection of attractive products. Furthermore, all of our revenue is generated from our financial services partners, and as such, relationships with new and existing financial services partners are critical to the success of our business. We continuously aim to selectively add new financial services partners to our platform and to add coverage for additional verticals from existing partners. That said, maximizing the number of our financial services partners on our platform isn’t our primary focus—our focus is quality, and we aim to offer all of the</w:t>
      </w:r>
      <w:r>
        <w:rPr>
          <w:color w:val="000000"/>
        </w:rPr>
        <w:t xml:space="preserve"> </w:t>
      </w:r>
      <w:r>
        <w:rPr>
          <w:rFonts w:ascii="Times New Roman;sans-serif" w:hAnsi="Times New Roman;sans-serif"/>
          <w:b w:val="false"/>
          <w:color w:val="000000"/>
          <w:sz w:val="20"/>
        </w:rPr>
        <w:t>top financial</w:t>
      </w:r>
      <w:r>
        <w:rPr>
          <w:color w:val="000000"/>
        </w:rPr>
        <w:t xml:space="preserve"> </w:t>
      </w:r>
      <w:r>
        <w:rPr>
          <w:rFonts w:ascii="Times New Roman;sans-serif" w:hAnsi="Times New Roman;sans-serif"/>
          <w:b w:val="false"/>
          <w:color w:val="000000"/>
          <w:sz w:val="20"/>
        </w:rPr>
        <w:t>products on our platform</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 xml:space="preserve">The success of our relationships with financial services partners is in large part based on our ability to provide them with interested and qualified consumers. </w:t>
      </w:r>
    </w:p>
    <w:p>
      <w:pPr>
        <w:pStyle w:val="TextBody"/>
        <w:bidi w:val="0"/>
        <w:spacing w:lineRule="auto" w:line="288" w:before="0" w:after="180"/>
        <w:jc w:val="left"/>
        <w:rPr/>
      </w:pPr>
      <w:r>
        <w:rPr>
          <w:rFonts w:ascii="Times New Roman;sans-serif" w:hAnsi="Times New Roman;sans-serif"/>
          <w:b/>
          <w:i/>
          <w:color w:val="000000"/>
          <w:sz w:val="20"/>
        </w:rPr>
        <w:t>Economic Conditions and the Financial Well-Being of Consumers</w:t>
      </w:r>
      <w:r>
        <w:rPr>
          <w:color w:val="000000"/>
        </w:rPr>
        <w:t xml:space="preserve"> </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Our business is reliant on economic conditions in the U.S. Any changes in the financial well-being of consumers, including as a result of inflation, economic recession, unemployment, government stimulus, or changes in monetary policy will affect the demand for various financial services products and therefore impact the number of individuals visiting our platform and our ability to earn revenue from matches completed on our platform. In particular, fluctuations in interest rates affect many of the products offered by our financial services partners, especially mortgages, personal loans, and banking products. </w:t>
      </w:r>
      <w:r>
        <w:rPr>
          <w:rFonts w:ascii="Times New Roman;sans-serif" w:hAnsi="Times New Roman;sans-serif"/>
          <w:b w:val="false"/>
          <w:color w:val="000000"/>
          <w:sz w:val="20"/>
          <w:shd w:fill="FFFFFF" w:val="clear"/>
        </w:rPr>
        <w:t xml:space="preserve">Typically, when interest rates decline, we see accelerated consumer demand for loans which in turn leads to increased traffic to our platform. Conversely, when interest rates increase, we see slowed consumer demand for loans and accelerated demand for banking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Marketing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strategy leverages multiple channels across brand marketing, performance marketing and organic marketing. Sales and marketing expense consists of: brand marketing, primarily advertising costs to increase brand awareness; performance marketing, primarily costs to drive traffic directly to our platform; and organic and other, primarily personnel-related costs for content and other marketing and sales teams. In 2024, approximately 15% of our total marketing expense was attributable to brand marketing, 63% to performance marketing, and the remainder to organic and other marketing expenses. In 2023, approximately 21% of our total marketing expense was attributable to brand marketing, 51% to performance marketing, and the remainder to organic and other marketing expenses. We evaluate the success of our brand marketing by measuring aided brand awareness, which has grown consistently on an annual basis since 2019.</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able to adjust our marketing spend to reflect changes in external factors and consumer behavior. Performance marketing spend can be adjusted more quickly than brand marketing, which typically involves pre-committing to spend in future periods. We increased sales and marketing expense in 2023 by 7% compared to 2022, and in 2024 by 17% compared to 2023.</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2024, over 70% of all traffic to NerdWallet came organically through direct or unpaid channels, reflecting the strength of our brand and organic marketing efforts. Our in-house, award-winning and experienced editorial team leverages search-engine optimization best practices and technology, and designs interfaces to help consumers easily find the information they are seeking. Our editorial team also optimizes page structure to increase visibility, not only for organic search results, but also for Google’s premium features such as FAQs, featured snippets, and video results. Personnel-related expenses within organic marketing reflect our continued investment in building a comprehensive set of skills and expertise across our editorial team. We will continue to invest in our marketing channels going forward, and believe that our marketing strategy will continue to position NerdWallet as the trusted brand of choice in personal finance, improve traffic acquisition at all levels of the funnel, drive engagement and enable us to scale quickly across new consumer finance verticals and geographies.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acquisitions to expand into new verticals; to enter new markets and geographies; and to grow our platform so that our users have better outcomes. Our recent acquisitions include: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i/>
          <w:color w:val="000000"/>
          <w:sz w:val="20"/>
        </w:rPr>
        <w:t>Next Door Lending.</w:t>
      </w:r>
      <w:r>
        <w:rPr>
          <w:color w:val="000000"/>
        </w:rPr>
        <w:t xml:space="preserve"> </w:t>
      </w:r>
      <w:r>
        <w:rPr>
          <w:rFonts w:ascii="Times New Roman;sans-serif" w:hAnsi="Times New Roman;sans-serif"/>
          <w:b w:val="false"/>
          <w:color w:val="000000"/>
          <w:sz w:val="20"/>
        </w:rPr>
        <w:t xml:space="preserve">In October 2024, we acquired NDL, a mortgage broker that offers a selection of loan products for home purchase and refinance, including cash-out refinance and debt consolidation, across a range of maturities and interest rates. Through NDL, we offer consumers access to government-sponsored entity-conforming loans, FHA insured loans, VA guaranteed loans and jumbo loans.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i/>
          <w:color w:val="000000"/>
          <w:sz w:val="20"/>
        </w:rPr>
        <w:t>On the Barrelhead.</w:t>
      </w:r>
      <w:r>
        <w:rPr>
          <w:color w:val="000000"/>
        </w:rPr>
        <w:t xml:space="preserve"> </w:t>
      </w:r>
      <w:r>
        <w:rPr>
          <w:rFonts w:ascii="Times New Roman;sans-serif" w:hAnsi="Times New Roman;sans-serif"/>
          <w:b w:val="false"/>
          <w:color w:val="000000"/>
          <w:sz w:val="20"/>
        </w:rPr>
        <w:t xml:space="preserve">In July 2022, we acquired On the Barrelhead, Inc. (OTB), a data-driven platform that provides consumers and SMBs with credit-driven product recommendations. </w:t>
      </w:r>
      <w:r>
        <w:rPr>
          <w:rFonts w:ascii="Times New Roman;sans-serif" w:hAnsi="Times New Roman;sans-serif"/>
          <w:b w:val="false"/>
          <w:color w:val="000000"/>
          <w:sz w:val="20"/>
          <w:shd w:fill="FFFFFF" w:val="clear"/>
        </w:rPr>
        <w:t>Given the success of our Fundera acquisition within our SMB products verticals, we are leveraging our vertical integration playbook to fully integrate OTB’s technology and expertise within our Loans portfolio. By pairing OTB’s loan matching platform with NerdWallet’s trusted brand and massive reach, we can offer our users more personalized and compelling recommendations, leading to better customer experiences and improved monetization.</w:t>
      </w:r>
    </w:p>
    <w:p>
      <w:pPr>
        <w:pStyle w:val="TextBody"/>
        <w:bidi w:val="0"/>
        <w:spacing w:lineRule="auto" w:line="288" w:before="120" w:after="180"/>
        <w:ind w:left="0" w:right="0" w:hanging="360"/>
        <w:jc w:val="both"/>
        <w:rPr/>
      </w:pPr>
      <w:r>
        <w:rPr>
          <w:color w:val="000000"/>
        </w:rPr>
        <w:t>•</w:t>
      </w:r>
      <w:r>
        <w:rPr>
          <w:rFonts w:ascii="Times New Roman;sans-serif" w:hAnsi="Times New Roman;sans-serif"/>
          <w:b/>
          <w:i/>
          <w:color w:val="000000"/>
          <w:sz w:val="20"/>
        </w:rPr>
        <w:t>Fundera.</w:t>
      </w:r>
      <w:r>
        <w:rPr>
          <w:color w:val="000000"/>
        </w:rPr>
        <w:t xml:space="preserve"> </w:t>
      </w:r>
      <w:r>
        <w:rPr>
          <w:rFonts w:ascii="Times New Roman;sans-serif" w:hAnsi="Times New Roman;sans-serif"/>
          <w:b w:val="false"/>
          <w:color w:val="000000"/>
          <w:sz w:val="20"/>
        </w:rPr>
        <w:t xml:space="preserve">In October 2020, we acquired Fundera, Inc. (Fundera), an online platform which connects SMBs with lenders and other resources. </w:t>
      </w:r>
      <w:r>
        <w:rPr>
          <w:rFonts w:ascii="Times New Roman;sans-serif" w:hAnsi="Times New Roman;sans-serif"/>
          <w:b w:val="false"/>
          <w:color w:val="000000"/>
          <w:sz w:val="20"/>
          <w:shd w:fill="FFFFFF" w:val="clear"/>
        </w:rPr>
        <w:t>Fundera’s SMB-focused advice and loan comparison offerings, together with its strong brand and consultative sales approach, enables us to better support SMBs. This acquisition is a first step to enable deeper integration within existing verticals, which couples our top of funnel strength with Fundera</w:t>
      </w:r>
      <w:r>
        <w:rPr>
          <w:color w:val="000000"/>
        </w:rPr>
        <w:t>’</w:t>
      </w:r>
      <w:r>
        <w:rPr>
          <w:rFonts w:ascii="Times New Roman;sans-serif" w:hAnsi="Times New Roman;sans-serif"/>
          <w:b w:val="false"/>
          <w:color w:val="000000"/>
          <w:sz w:val="20"/>
          <w:shd w:fill="FFFFFF" w:val="clear"/>
        </w:rPr>
        <w:t>s monetization strategy, including recurring revenue from loan renewals. Combining the strengths of each business will allow NerdWallet to accelerate our growth in the SMB market, and will also serve as a playbook for further vertical integrations.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i/>
          <w:color w:val="000000"/>
          <w:sz w:val="20"/>
        </w:rPr>
        <w:t>Know Your Money.</w:t>
      </w:r>
      <w:r>
        <w:rPr>
          <w:color w:val="000000"/>
        </w:rPr>
        <w:t xml:space="preserve"> </w:t>
      </w:r>
      <w:r>
        <w:rPr>
          <w:rFonts w:ascii="Times New Roman;sans-serif" w:hAnsi="Times New Roman;sans-serif"/>
          <w:b w:val="false"/>
          <w:color w:val="000000"/>
          <w:sz w:val="20"/>
        </w:rPr>
        <w:t>In September 2020, we acquired Notice Media Ltd. (doing business as Know Your Money), an online provider of financial guidance and tools geared towards consumers and SMBs in the UK. KYM’s UK expertise and NerdWallet’s existing brand recognition have provided us a strong foothold in the UK region. We believe the acquisition will allow us to accelerate our international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pStyle w:val="TextBody"/>
        <w:bidi w:val="0"/>
        <w:spacing w:lineRule="auto" w:line="288" w:before="0" w:after="180"/>
        <w:ind w:left="0" w:right="0" w:firstLine="360"/>
        <w:jc w:val="both"/>
        <w:rPr/>
      </w:pPr>
      <w:r>
        <w:rPr>
          <w:rFonts w:ascii="Times New Roman;sans-serif" w:hAnsi="Times New Roman;sans-serif"/>
          <w:b/>
          <w:i/>
          <w:color w:val="000000"/>
          <w:sz w:val="20"/>
        </w:rPr>
        <w:t xml:space="preserve">Non-GAAP operating income (loss): </w:t>
      </w:r>
      <w:r>
        <w:rPr>
          <w:rFonts w:ascii="Times New Roman;sans-serif" w:hAnsi="Times New Roman;sans-serif"/>
          <w:b w:val="false"/>
          <w:color w:val="000000"/>
          <w:sz w:val="20"/>
        </w:rPr>
        <w:t>We define non-GAAP operating income (loss) as income (loss) from operations adjusted to exclude depreciation and amortization, and further exclude (1) impairment of right-of-use asset, (2) losses (gains) on disposals of assets, (3) change in fair value of contingent consideration related to earnouts, (4) deferred compensation related to earnouts, (5) acquisition-related costs, and (6) restructuring charges. We also reduce income from operations, or increase loss from operations, for capitalized internally developed software costs.</w:t>
      </w:r>
    </w:p>
    <w:p>
      <w:pPr>
        <w:pStyle w:val="TextBody"/>
        <w:bidi w:val="0"/>
        <w:spacing w:lineRule="auto" w:line="288" w:before="0" w:after="180"/>
        <w:ind w:left="0" w:right="0" w:firstLine="360"/>
        <w:jc w:val="both"/>
        <w:rPr/>
      </w:pPr>
      <w:r>
        <w:rPr>
          <w:rFonts w:ascii="Times New Roman;sans-serif" w:hAnsi="Times New Roman;sans-serif"/>
          <w:b/>
          <w:i/>
          <w:color w:val="000000"/>
          <w:sz w:val="20"/>
        </w:rPr>
        <w:t xml:space="preserve">Adjusted EBITDA: </w:t>
      </w:r>
      <w:r>
        <w:rPr>
          <w:rFonts w:ascii="Times New Roman;sans-serif" w:hAnsi="Times New Roman;sans-serif"/>
          <w:b w:val="false"/>
          <w:color w:val="000000"/>
          <w:sz w:val="20"/>
        </w:rPr>
        <w:t xml:space="preserve">We define adjusted EBITDA as net income (loss) from continuing operations adjusted to exclude depreciation and amortization, interest income (expense), net, other gains (losses), net, and provision (benefit) for income taxes, and further exclude (1) impairment of right-of-use asset, (2) losses (gains) on disposals of assets, (3) change in fair value of contingent consideration related to earnouts, (4) deferred compensation related to earnouts, (5) stock-based compensation, (6) acquisition-related costs, and (7) restructuring charges.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Non-GAAP operating income (loss) and adjusted EBITDA exclude certain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Operations—Key Components of Our Results of Operations—Non-GAAP Financial Measures” for reconciliations of non-GAAP operating income (loss) to income (loss) from operations, and adjusted EBITDA to net income (loss), the most directly comparable financial measures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We generate substantially all of our revenue through fees paid by our financial services partners in the form of either </w:t>
      </w:r>
      <w:r>
        <w:rPr>
          <w:rFonts w:ascii="Times New Roman;sans-serif" w:hAnsi="Times New Roman;sans-serif"/>
          <w:b w:val="false"/>
          <w:color w:val="000000"/>
          <w:sz w:val="20"/>
          <w:shd w:fill="FFFFFF" w:val="clear"/>
        </w:rPr>
        <w:t>revenue per action, revenue per click, revenue per lead, and revenue per funded loan</w:t>
      </w:r>
      <w:r>
        <w:rPr>
          <w:color w:val="000000"/>
        </w:rPr>
        <w:t xml:space="preserve"> </w:t>
      </w:r>
      <w:r>
        <w:rPr>
          <w:rFonts w:ascii="Times New Roman;sans-serif" w:hAnsi="Times New Roman;sans-serif"/>
          <w:b w:val="false"/>
          <w:color w:val="000000"/>
          <w:sz w:val="20"/>
        </w:rPr>
        <w:t>arrangements. For these revenue arrangements, in which a partner pays only when a consumer satisfies the criteria set forth within the arrangement, revenue is recognized generally when we match the consumer with the financial services partner. For some of our arrangements, the transaction price is considered variable and an estimate of the constrained transaction price is recorded when the match occurs. Our revenue generally includes five product categories: Insurance, Credit cards, SMB products, Loans and Emerging verticals. Insurance revenue includes revenue from consumer insurance products, including auto, life and pet insurance. Credit cards revenue includes revenue from consumer credit cards. SMB products revenue includes revenue from loans, credit cards and other financial products and services intended for small and mid-sized businesses. Loans revenue includes revenue from personal loans, mortgages, student loans and auto loans. Emerging verticals revenue includes revenue from other product sources, including banking, investing and international.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Cost of revenue consists primarily of amortization expense associated with capitalized software development costs and developed technology intangible assets related to our acquisitions, credit scoring fees, account linking fees</w:t>
      </w:r>
      <w:r>
        <w:rPr>
          <w:rFonts w:ascii="Times New Roman;sans-serif" w:hAnsi="Times New Roman;sans-serif"/>
          <w:b/>
          <w:color w:val="000000"/>
          <w:sz w:val="2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third-party data center costs. We expect our cost of revenue to increase in absolute dollars for the foreseeable future to the extent that our business continues to grow. We expect our cost of revenue to vary as a percentage of revenue in the near term, and it may eventually decrease over time as a percentage of revenue as our business grows and recognizes economies of scale. However, this percentage may fluctuate from year to year depending on the timing and extent of our investments in experiences requiring third-party data, credit scoring and account linking fees.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increase in absolute dollars for the foreseeable future, primarily for increased headcount costs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include advertising and promotion costs, costs related to brand campaign fees, marketing, business operations team, and editorial personnel and related costs, including stock-based compensation.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and marketing expenses to continue to increase in absolute dollars for the foreseeable future, primarily to support the growth of our existing business and expansion into new verticals. Over time, we expect sales and marketing expenses to decrease as a percentage of revenue as our business grows and recognizes economies of scale. However, this percentage may fluctuate from period to period depending on the timing and extent of our sales and 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 related costs, including stock-based compensation, for certain of our executives as well as our legal, finance, human resources, and other administrative employees; and professional services fees.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expenses to increase in absolute dollars for the foreseeable future primarily to support the growth of our business. Additional expenses may include increased headcount, enhanced systems, processes, and controls as well as increased expenses in the areas of insurance, compliance, investor relations, and professional services. For these reasons, we expect general and administrative expenses to vary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 in fair value of contingent consideration related to earnouts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acquisitions of Fundera and KYM included earn-out provisions which required us to pay additional consideration based on the achievement of certain performance measures for a stated period after the acquisition date. We measured this contingent consideration at fair value as of the acquisition date and record it as a liability on our consolidated balance sheet. The fair value of each contingent consideration liability is remeasured at the end of each reporting period, with any changes in fair value recognized as income or expense from operations in our consolidated income statement. As of December 31, 2022, Fundera’s revenue and profitability milestones for 2022 were achieved and the contingent consideration liability was recorded at the full payout amount, with the contingent consideration liability paid in full during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is comprised of interest income, interest expense, and other gains (losses), net. Interest income consists primarily of interest earned on our cash and cash equivalents. Interest expense consists of interest costs related to our revolving credit facility, including amortization of debt issuance costs. Other gains (losses), net for 2024 includes an $8.1 million impairment on an equity investment. Other gains (losses), net is otherwise primarily related to realized and unrealized gains and losses on foreign currency transactions and balances.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provision (benefit)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(benefit) consists of federal and state income taxes. We have federal and state net operating loss carryforwards (NOLs), and California research and development credit carryforwards, certain of which are subject to expiration dates if not utilized. Utilization of our NOLs and tax credit carryforwards, as well as of our other temporary differences, is dependent upon the generation of sufficient future taxable income during the periods in which those temporary differences become deductible. In the fourth quarter of 2024, based on our ongoing assessment of all available evidence, both positive and negative, including a significant improvement in our profitability coupled with anticipated future earnings, we concluded that it is more likely than not that our U.S. federal and majority state deferred tax assets in excess of deferred tax liabilities would be realized and released $27.2 million of our valuation allowance against these net U.S. deferred tax assets as of December 31, 2024. Our judgment regarding the likelihood of realization of these deferred tax assets could change in future periods, which could result in a material impact to our income tax provision in the period of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Comparison of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results of operations for the periods presented. The following discussion should be read in conjunction with the consolidated financial statements and related notes included elsewhere in this Annual Report on Form 10-K.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tbl>
      <w:tblPr>
        <w:tblW w:w="9488" w:type="dxa"/>
        <w:jc w:val="left"/>
        <w:tblInd w:w="0" w:type="dxa"/>
        <w:tblLayout w:type="fixed"/>
        <w:tblCellMar>
          <w:top w:w="28" w:type="dxa"/>
          <w:left w:w="28" w:type="dxa"/>
          <w:bottom w:w="28" w:type="dxa"/>
          <w:right w:w="28" w:type="dxa"/>
        </w:tblCellMar>
      </w:tblPr>
      <w:tblGrid>
        <w:gridCol w:w="2026"/>
        <w:gridCol w:w="1777"/>
        <w:gridCol w:w="1806"/>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as follows:</w:t>
      </w:r>
    </w:p>
    <w:tbl>
      <w:tblPr>
        <w:tblW w:w="5348"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5"/>
              </w:rPr>
            </w:pPr>
            <w:r>
              <w:rPr>
                <w:rFonts w:ascii="Times New Roman;sans-serif" w:hAnsi="Times New Roman;sans-serif"/>
                <w:b w:val="false"/>
                <w:i/>
                <w:color w:val="000000"/>
                <w:sz w:val="15"/>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statements of operations as a percentage of revenue:</w:t>
      </w:r>
    </w:p>
    <w:tbl>
      <w:tblPr>
        <w:tblW w:w="8966" w:type="dxa"/>
        <w:jc w:val="left"/>
        <w:tblInd w:w="0" w:type="dxa"/>
        <w:tblLayout w:type="fixed"/>
        <w:tblCellMar>
          <w:top w:w="28" w:type="dxa"/>
          <w:left w:w="28" w:type="dxa"/>
          <w:bottom w:w="28" w:type="dxa"/>
          <w:right w:w="28" w:type="dxa"/>
        </w:tblCellMar>
      </w:tblPr>
      <w:tblGrid>
        <w:gridCol w:w="2033"/>
        <w:gridCol w:w="1782"/>
        <w:gridCol w:w="1794"/>
        <w:gridCol w:w="109"/>
        <w:gridCol w:w="109"/>
        <w:gridCol w:w="109"/>
        <w:gridCol w:w="233"/>
        <w:gridCol w:w="233"/>
        <w:gridCol w:w="271"/>
        <w:gridCol w:w="109"/>
        <w:gridCol w:w="109"/>
        <w:gridCol w:w="109"/>
        <w:gridCol w:w="233"/>
        <w:gridCol w:w="233"/>
        <w:gridCol w:w="331"/>
        <w:gridCol w:w="109"/>
        <w:gridCol w:w="109"/>
        <w:gridCol w:w="109"/>
        <w:gridCol w:w="233"/>
        <w:gridCol w:w="233"/>
        <w:gridCol w:w="376"/>
      </w:tblGrid>
      <w:tr>
        <w:trPr/>
        <w:tc>
          <w:tcPr>
            <w:tcW w:w="203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from operations increased $5.8 million or 161% for 2024 compared to 2023. The increase was driven by an $88.2 million increase in revenues, partially offset by an $82.4 million increase in costs and operating expenses, primarily due to increases of $69.1 million in sales and marketing expenses and $9.5 million in cost of 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net income of $30.4 million for 2024, as compared to a net loss of $11.8 million for 2023. The change reflects a $5.8 million increase in income from operations, and $4.4 million of other expense, net in 2024 as compared to other income, net of $2.7 million in 2023, which were more than offset by a $25.4 million income tax benefit in 2024 as compared to an income tax provision of $18.1 million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i/>
          <w:color w:val="000000"/>
          <w:sz w:val="20"/>
        </w:rPr>
        <w:t>Comparison of the Years Ended December 31, 2024</w:t>
      </w:r>
      <w:r>
        <w:rPr>
          <w:color w:val="000000"/>
        </w:rPr>
        <w:t xml:space="preserve"> </w:t>
      </w:r>
      <w:r>
        <w:rPr>
          <w:rFonts w:ascii="Times New Roman;sans-serif" w:hAnsi="Times New Roman;sans-serif"/>
          <w:b/>
          <w:i/>
          <w:color w:val="000000"/>
          <w:sz w:val="20"/>
        </w:rPr>
        <w:t>and</w:t>
      </w:r>
      <w:r>
        <w:rPr>
          <w:color w:val="000000"/>
        </w:rPr>
        <w:t xml:space="preserve"> </w:t>
      </w:r>
      <w:r>
        <w:rPr>
          <w:rFonts w:ascii="Times New Roman;sans-serif" w:hAnsi="Times New Roman;sans-serif"/>
          <w:b/>
          <w:i/>
          <w:color w:val="000000"/>
          <w:sz w:val="20"/>
        </w:rPr>
        <w:t>2023</w:t>
      </w:r>
    </w:p>
    <w:p>
      <w:pPr>
        <w:pStyle w:val="TextBody"/>
        <w:bidi w:val="0"/>
        <w:spacing w:lineRule="auto" w:line="288" w:before="0" w:after="0"/>
        <w:jc w:val="left"/>
        <w:rPr/>
      </w:pPr>
      <w:r>
        <w:rPr>
          <w:rFonts w:ascii="Times New Roman;sans-serif" w:hAnsi="Times New Roman;sans-serif"/>
          <w:b/>
          <w:i/>
          <w:color w:val="000000"/>
          <w:sz w:val="20"/>
        </w:rPr>
        <w:t>Revenue</w:t>
      </w:r>
      <w:r>
        <w:rPr>
          <w:color w:val="000000"/>
        </w:rPr>
        <w:t xml:space="preserve"> </w:t>
      </w:r>
    </w:p>
    <w:tbl>
      <w:tblPr>
        <w:tblW w:w="7136" w:type="dxa"/>
        <w:jc w:val="left"/>
        <w:tblInd w:w="0" w:type="dxa"/>
        <w:tblLayout w:type="fixed"/>
        <w:tblCellMar>
          <w:top w:w="28" w:type="dxa"/>
          <w:left w:w="28" w:type="dxa"/>
          <w:bottom w:w="28" w:type="dxa"/>
          <w:right w:w="28" w:type="dxa"/>
        </w:tblCellMar>
      </w:tblPr>
      <w:tblGrid>
        <w:gridCol w:w="726"/>
        <w:gridCol w:w="637"/>
        <w:gridCol w:w="64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544"/>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SMB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verticals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$88.2 million, or 15%, for 2024 compared to 2023, driven by strong growth in Insurance products revenue as well as SMB products revenues, partially offset by lower Credit cards, Loans and Emerging verticals revenues.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revenue increased $146.6 million, or 326%, for 2024 compared to 2023, primarily driven by a strong increase in auto insurance products revenue as carriers expanded budgets.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cards revenue decreased $33.3 million, or 16%, for 2024 compared to 2023, primarily due to pressures in organic search traffic and reduced marketing spending by our financial services partners amidst a cautious underwriting environment.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SMB products revenue increased $8.6 million, or 9%, for 2024 compared to 2023, primarily driven by revenue growth in products such as business credit cards, loan renewals and banking as we continue to scale our product offerings, partially offset by a decrease in business loan originations.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Loans revenue decreased $17.1 million, or 17%, for 2024 compared to 2023, primarily due to a 32% decrease in personal loans revenue as we continue to work through a high interest rate environment, partially offset by higher mortgage loans revenue from both organic growth as well as incorporating our acquisition of NDL in October 2024.</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Emerging verticals revenue decreased $16.6 million, or 12%, for 2024 compared to 2023, primarily due to a 14% decrease in banking revenue as consumer demand for banking products continued to moderate.</w:t>
      </w:r>
    </w:p>
    <w:p>
      <w:pPr>
        <w:pStyle w:val="TextBody"/>
        <w:bidi w:val="0"/>
        <w:spacing w:lineRule="auto" w:line="288" w:before="0" w:after="0"/>
        <w:jc w:val="left"/>
        <w:rPr/>
      </w:pPr>
      <w:r>
        <w:rPr>
          <w:rFonts w:ascii="Times New Roman;sans-serif" w:hAnsi="Times New Roman;sans-serif"/>
          <w:b/>
          <w:i/>
          <w:color w:val="000000"/>
          <w:sz w:val="20"/>
        </w:rPr>
        <w:t>Costs and Expenses</w:t>
      </w:r>
      <w:r>
        <w:rPr>
          <w:color w:val="000000"/>
        </w:rPr>
        <w:t xml:space="preserve"> </w:t>
      </w:r>
    </w:p>
    <w:tbl>
      <w:tblPr>
        <w:tblW w:w="7236" w:type="dxa"/>
        <w:jc w:val="left"/>
        <w:tblInd w:w="0" w:type="dxa"/>
        <w:tblLayout w:type="fixed"/>
        <w:tblCellMar>
          <w:top w:w="28" w:type="dxa"/>
          <w:left w:w="28" w:type="dxa"/>
          <w:bottom w:w="28" w:type="dxa"/>
          <w:right w:w="28" w:type="dxa"/>
        </w:tblCellMar>
      </w:tblPr>
      <w:tblGrid>
        <w:gridCol w:w="834"/>
        <w:gridCol w:w="732"/>
        <w:gridCol w:w="743"/>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86"/>
        <w:gridCol w:w="186"/>
        <w:gridCol w:w="544"/>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$9.5 million, or 17%, for 2024 compared to 2023. The increase was primarily attributable to increases of $6.5 million primarily related to third-party service charges and $3.9 million in amortization expense related to capitalized software development costs, partially offset by a $1.6 million decrease in amortization expense related to intangible assets.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$2.0 million, or 3%, for 2024 compared to 2023. The increase was primarily attributable to a $5.8 million restructuring charge as well as a $1.8 million increase in software and technology costs related to our platform, partially offset by a $4.0 million decrease in personnel-related costs for our engineering, data, and product management personnel and contractors.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sales and marketing expense, including as a percentage of total sales and marketing expense, are as follows:</w:t>
      </w:r>
    </w:p>
    <w:tbl>
      <w:tblPr>
        <w:tblW w:w="9471" w:type="dxa"/>
        <w:jc w:val="left"/>
        <w:tblInd w:w="0" w:type="dxa"/>
        <w:tblLayout w:type="fixed"/>
        <w:tblCellMar>
          <w:top w:w="28" w:type="dxa"/>
          <w:left w:w="28" w:type="dxa"/>
          <w:bottom w:w="28" w:type="dxa"/>
          <w:right w:w="28" w:type="dxa"/>
        </w:tblCellMar>
      </w:tblPr>
      <w:tblGrid>
        <w:gridCol w:w="883"/>
        <w:gridCol w:w="775"/>
        <w:gridCol w:w="787"/>
        <w:gridCol w:w="109"/>
        <w:gridCol w:w="109"/>
        <w:gridCol w:w="109"/>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316"/>
      </w:tblGrid>
      <w:tr>
        <w:trPr/>
        <w:tc>
          <w:tcPr>
            <w:tcW w:w="88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Organic and other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able to adjust our marketing spend to reflect changes in external factors and consumer behavior.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$69.1 million, or 17%, for 2024 compared to 2023. The increase was attributable to a $90.9 million increase in performance marketing expenses, partially offset by decreases of $15.8 million in brand marketing expenses and $6.0 million in organic and other marketing expenses primarily due to lower personnel-related costs partially offset by a $2.0 million restructuring charge.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$1.8 million, or 3%, for 2024 compared to 2023, primarily attributable to a $1.2 million restructuring charge as well as higher personnel-related costs mainly due to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386" w:type="dxa"/>
        <w:jc w:val="left"/>
        <w:tblInd w:w="0" w:type="dxa"/>
        <w:tblLayout w:type="fixed"/>
        <w:tblCellMar>
          <w:top w:w="28" w:type="dxa"/>
          <w:left w:w="28" w:type="dxa"/>
          <w:bottom w:w="28" w:type="dxa"/>
          <w:right w:w="28" w:type="dxa"/>
        </w:tblCellMar>
      </w:tblPr>
      <w:tblGrid>
        <w:gridCol w:w="1024"/>
        <w:gridCol w:w="898"/>
        <w:gridCol w:w="912"/>
        <w:gridCol w:w="109"/>
        <w:gridCol w:w="109"/>
        <w:gridCol w:w="109"/>
        <w:gridCol w:w="211"/>
        <w:gridCol w:w="481"/>
        <w:gridCol w:w="109"/>
        <w:gridCol w:w="109"/>
        <w:gridCol w:w="109"/>
        <w:gridCol w:w="109"/>
        <w:gridCol w:w="211"/>
        <w:gridCol w:w="406"/>
        <w:gridCol w:w="109"/>
        <w:gridCol w:w="109"/>
        <w:gridCol w:w="109"/>
        <w:gridCol w:w="109"/>
        <w:gridCol w:w="211"/>
        <w:gridCol w:w="481"/>
        <w:gridCol w:w="109"/>
        <w:gridCol w:w="109"/>
        <w:gridCol w:w="109"/>
        <w:gridCol w:w="109"/>
        <w:gridCol w:w="186"/>
        <w:gridCol w:w="186"/>
        <w:gridCol w:w="544"/>
      </w:tblGrid>
      <w:tr>
        <w:trPr/>
        <w:tc>
          <w:tcPr>
            <w:tcW w:w="10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income (expense), net for 2024 compared to 2023 was primarily attributable to an $8.1 million impairment on an equity investment, partially offset by higher interest income reflecting higher interest rates and average cash balances.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provision (benefit)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an income tax benefit of $25.4 million for 2024, as compared to an income tax provision of $18.1 million in 2023. Our effective tax rate was (505.5%) and 286.7% for 2024 and 2023, respectively, as compared to the U.S. federal statutory income tax rate of 21%. Our effective tax rate for 2024 differs from the U.S. federal statutory income tax rate of 21% primarily due to the decrease in the valuation allowance maintained against our net U.S. deferred tax assets. In the fourth quarter of 2024, we concluded that it is more likely than not that our net U.S. federal and majority state deferred tax assets are realizable, resulting in a valuation allowance release of $27.2 million. Our effective tax rate for 2023 differs from the U.S. federal statutory income tax rate of 21% primarily due to the valuation allowance previously maintained against our net U.S. deferred tax assets and state taxes, partially offset by research and development credits. Our tax benefit for 2023 primarily resulted from the requirement for us to capitalize and amortize research and development expenses, and an overall increase in our profitability before taxes. As a result, we recorded a significant U.S. current tax provision in 2023 with no corresponding deferred tax benefit for such capitalized expenses due to the valuation allowance maintained against our net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reconciling non-GAAP operating income (loss) to income (loss) from operations, and adjusted EBITDA to net income (loss), the most directly comparable GAAP financial measures, as follows:</w:t>
      </w:r>
    </w:p>
    <w:tbl>
      <w:tblPr>
        <w:tblW w:w="10005" w:type="dxa"/>
        <w:jc w:val="left"/>
        <w:tblInd w:w="0" w:type="dxa"/>
        <w:tblLayout w:type="fixed"/>
        <w:tblCellMar>
          <w:top w:w="28" w:type="dxa"/>
          <w:left w:w="28" w:type="dxa"/>
          <w:bottom w:w="28" w:type="dxa"/>
          <w:right w:w="28" w:type="dxa"/>
        </w:tblCellMar>
      </w:tblPr>
      <w:tblGrid>
        <w:gridCol w:w="2026"/>
        <w:gridCol w:w="1777"/>
        <w:gridCol w:w="1807"/>
        <w:gridCol w:w="109"/>
        <w:gridCol w:w="109"/>
        <w:gridCol w:w="109"/>
        <w:gridCol w:w="211"/>
        <w:gridCol w:w="631"/>
        <w:gridCol w:w="271"/>
        <w:gridCol w:w="109"/>
        <w:gridCol w:w="109"/>
        <w:gridCol w:w="109"/>
        <w:gridCol w:w="211"/>
        <w:gridCol w:w="586"/>
        <w:gridCol w:w="331"/>
        <w:gridCol w:w="109"/>
        <w:gridCol w:w="109"/>
        <w:gridCol w:w="109"/>
        <w:gridCol w:w="211"/>
        <w:gridCol w:w="586"/>
        <w:gridCol w:w="376"/>
      </w:tblGrid>
      <w:tr>
        <w:trPr/>
        <w:tc>
          <w:tcPr>
            <w:tcW w:w="202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related to earnouts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26.4</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Non-GAAP operating income (loss) margin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related to earnouts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107.9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97.6</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67.1</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internally developed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26.4</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 margin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non-GAAP operating income (loss) as a percentage of revenue.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adjusted EBITDA as a percentage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Our non-GAAP operating income increased $21.2 million, or 80%, for 2024 compared to 2023.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increase was driven by increases of $5.8 million in income from operations, and $15.4 million in adjustments to reconcile income from operations to non-GAAP operating income, including a $9.0 million restructuring charge and an $8.4 million decrease in capitalized internally developed software costs..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Adjusted EBITDA increased $10.3 million, or 10%, for 2024 compared to 2023. </w:t>
      </w:r>
      <w:r>
        <w:rPr>
          <w:rFonts w:ascii="Times New Roman;sans-serif" w:hAnsi="Times New Roman;sans-serif"/>
          <w:b w:val="false"/>
          <w:color w:val="000000"/>
          <w:sz w:val="20"/>
          <w:shd w:fill="FFFFFF" w:val="clear"/>
        </w:rPr>
        <w:t>The increase</w:t>
      </w:r>
      <w:r>
        <w:rPr>
          <w:color w:val="000000"/>
        </w:rPr>
        <w:t xml:space="preserve"> </w:t>
      </w:r>
      <w:r>
        <w:rPr>
          <w:rFonts w:ascii="Times New Roman;sans-serif" w:hAnsi="Times New Roman;sans-serif"/>
          <w:b w:val="false"/>
          <w:color w:val="000000"/>
          <w:sz w:val="20"/>
        </w:rPr>
        <w:t>was primarily attributable to net income of $30.4 million for 2024, as compared to a net loss of $11.8 million for 2023, partially offset by a decrease in adjustments to reconcile adjusted EBITDA to net income (loss), including $43.5 million for income taxes and $2.5 million for stock-based compensation, partially offset by a $9.0 million restructuring charge and an $8.4 million increase in other losses,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pPr>
      <w:r>
        <w:rPr>
          <w:rFonts w:ascii="Times New Roman;sans-serif" w:hAnsi="Times New Roman;sans-serif"/>
          <w:b/>
          <w:i/>
          <w:color w:val="000000"/>
          <w:sz w:val="20"/>
        </w:rPr>
        <w:t>Overview</w:t>
      </w:r>
      <w:r>
        <w:rPr>
          <w:color w:val="000000"/>
        </w:rPr>
        <w:t xml:space="preserv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to meet our business requirements and plans, both in the short-term (i.e., the next twelve months from December 31, 2024) and long-term (i.e., beyond the next twelve months), have historically been cash generated from operations and, more recently,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we had cash and cash equivalents of $66.3 million and $100.4 million, respectively.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contractual commitments as of December 31, 2024 is included in Note 8–Commitments and Contingencies in the notes to the consolidated financial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 broadly, we also have purchase obligations under contractual arrangements with vendors and service providers, including for certain web-hosting and cloud computing services, which do not qualify for recognition on our consolidated balance sheet but which we consider non-cancellable. As of December 31, 2024, amounts to be spent under non-cancellable purchase obligations were $18.4 million over the next twelve months, and approximately $9 million in 2026.</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Trends, Uncertainties and Anticipated Sources of Funds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 </w:t>
      </w:r>
    </w:p>
    <w:p>
      <w:pPr>
        <w:pStyle w:val="TextBody"/>
        <w:bidi w:val="0"/>
        <w:spacing w:lineRule="auto" w:line="288" w:before="0" w:after="180"/>
        <w:ind w:left="0" w:right="0" w:firstLine="360"/>
        <w:jc w:val="both"/>
        <w:rPr/>
      </w:pPr>
      <w:r>
        <w:rPr>
          <w:rFonts w:ascii="Times New Roman;sans-serif" w:hAnsi="Times New Roman;sans-serif"/>
          <w:b/>
          <w:i/>
          <w:color w:val="000000"/>
          <w:sz w:val="20"/>
        </w:rPr>
        <w:t xml:space="preserve">Share Repurchase Program: </w:t>
      </w:r>
      <w:r>
        <w:rPr>
          <w:rFonts w:ascii="Times New Roman;sans-serif" w:hAnsi="Times New Roman;sans-serif"/>
          <w:b w:val="false"/>
          <w:color w:val="000000"/>
          <w:sz w:val="20"/>
        </w:rPr>
        <w:t>We announced on May 2, 2023 that our Board of Directors authorized a plan under which we may repurchase up to $20 million of our Class A common stock and, following our utilization of that share repurchase authorization, we announced on October 26, 2023, September 9, 2024 and October 29, 2024 that our Board of Directors approved additional share repurchase authorizations under which we may repurchase up to an additional $30 million, $50 million and $25 million, respectively,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under the Repurchase Program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Program are retired. We expect to fund repurchases with existing cash and cash equivalents. During 2024, we repurchased 6.5 million shares of Class A common stock for $80.4 million, including costs associated with the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current cash and cash equivalents and future cash flow from operations, as well as access to our credit facility with JPMorgan Chase Bank and a syndicate of other lenders, subject to customary borrowing conditions, will be sufficient to meet our ongoing working capital, capital expenditure and other liquidity requirements for the next twelve months and beyond. </w:t>
      </w:r>
    </w:p>
    <w:p>
      <w:pPr>
        <w:pStyle w:val="TextBody"/>
        <w:bidi w:val="0"/>
        <w:spacing w:lineRule="auto" w:line="288" w:before="0" w:after="180"/>
        <w:ind w:left="0" w:right="0" w:firstLine="360"/>
        <w:jc w:val="both"/>
        <w:rPr/>
      </w:pPr>
      <w:r>
        <w:rPr>
          <w:rFonts w:ascii="Times New Roman;sans-serif" w:hAnsi="Times New Roman;sans-serif"/>
          <w:b/>
          <w:i/>
          <w:color w:val="000000"/>
          <w:sz w:val="20"/>
        </w:rPr>
        <w:t xml:space="preserve">Credit Facility: </w:t>
      </w:r>
      <w:r>
        <w:rPr>
          <w:rFonts w:ascii="Times New Roman;sans-serif" w:hAnsi="Times New Roman;sans-serif"/>
          <w:b w:val="false"/>
          <w:color w:val="000000"/>
          <w:sz w:val="20"/>
        </w:rPr>
        <w:t xml:space="preserve">On September 26, 2023, we, including three of our wholly-owned subsidiaries, entered into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On October 1, 2024, we entered into an amendment to the Credit Agreement which, among other things, permits us to acquire an unrestricted subsidiary and/or to invest up to an aggregate of $15 million in unrestricted subsidiaries in any fiscal year, subject to standard provisions and limitations for unrestricted subsidiaries. The Credit Facility matures on September 26, 2028. We had no outstanding balance on our credit facility as of December 31, 2024 or 2023. Our credit facility contains certain financial and non-financial covenants. We were in compliance with all covenants as of December 31, 2024 and 2023. See Note 7–Debt in the notes to the consolidated financial statements for further discussion. </w:t>
      </w:r>
    </w:p>
    <w:p>
      <w:pPr>
        <w:pStyle w:val="TextBody"/>
        <w:bidi w:val="0"/>
        <w:spacing w:lineRule="auto" w:line="288" w:before="0" w:after="180"/>
        <w:ind w:left="0" w:right="0" w:firstLine="360"/>
        <w:jc w:val="both"/>
        <w:rPr/>
      </w:pPr>
      <w:r>
        <w:rPr>
          <w:rFonts w:ascii="Times New Roman;sans-serif" w:hAnsi="Times New Roman;sans-serif"/>
          <w:b/>
          <w:i/>
          <w:color w:val="000000"/>
          <w:sz w:val="20"/>
        </w:rPr>
        <w:t xml:space="preserve">Warehouse Line of Credit: </w:t>
      </w:r>
      <w:r>
        <w:rPr>
          <w:rFonts w:ascii="Times New Roman;sans-serif" w:hAnsi="Times New Roman;sans-serif"/>
          <w:b w:val="false"/>
          <w:color w:val="000000"/>
          <w:sz w:val="20"/>
        </w:rPr>
        <w:t xml:space="preserve">NDL, a wholly-owned subsidiary, maintains a $15.0 million warehouse line of credit to provide NDL short-term funding for mortgage loans originated for sale. Borrowings under the warehouse line of credit bear interest at the greater of the interest rate of the underlying mortgage loans held for sale or a minimum rate of 6%, and are secured by the underlying promissory notes of the mortgage loans held for sale as well as NDL’s other assets. The warehouse line of credit matures on February 1, 2026. NDL had $2.5 million outstanding under the warehouse line of credit as of December 31, 2024, which is included in accrued expenses and other current liabilities on our consolidated balance sheet. The warehouse line of credit requires NDL to comply with certain minimum tangible net worth, liquidity, and insurance requirements. NDL was in compliance with all covenants as of December 31, 2024. See Note 7–Debt in the notes to the consolidated financial statements for further discussion.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Sources and Uses of Capital Resources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8754" w:type="dxa"/>
        <w:jc w:val="left"/>
        <w:tblInd w:w="0" w:type="dxa"/>
        <w:tblLayout w:type="fixed"/>
        <w:tblCellMar>
          <w:top w:w="28" w:type="dxa"/>
          <w:left w:w="28" w:type="dxa"/>
          <w:bottom w:w="28" w:type="dxa"/>
          <w:right w:w="28" w:type="dxa"/>
        </w:tblCellMar>
      </w:tblPr>
      <w:tblGrid>
        <w:gridCol w:w="1836"/>
        <w:gridCol w:w="1612"/>
        <w:gridCol w:w="1637"/>
        <w:gridCol w:w="109"/>
        <w:gridCol w:w="109"/>
        <w:gridCol w:w="109"/>
        <w:gridCol w:w="211"/>
        <w:gridCol w:w="586"/>
        <w:gridCol w:w="109"/>
        <w:gridCol w:w="109"/>
        <w:gridCol w:w="109"/>
        <w:gridCol w:w="109"/>
        <w:gridCol w:w="211"/>
        <w:gridCol w:w="511"/>
        <w:gridCol w:w="109"/>
        <w:gridCol w:w="109"/>
        <w:gridCol w:w="109"/>
        <w:gridCol w:w="109"/>
        <w:gridCol w:w="211"/>
        <w:gridCol w:w="586"/>
        <w:gridCol w:w="154"/>
      </w:tblGrid>
      <w:tr>
        <w:trPr/>
        <w:tc>
          <w:tcPr>
            <w:tcW w:w="18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discussion and analysis of our changes in cash flows for 2024 compared to 2023 is presented below. For a discussion of our cash flows for 2023 and 2022, see “Management’s Discussion and Analysis of Financial Condition and Results of Operations–Liquidity and Capital Resources” in our Annual Report on Form 10-K for the year ended December 31, 2023.</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$0.3 million in 2024 compared to 2023 as the impact of net income of $30.4 million in 2024 as compared to a net loss of $11.8 million in 2023 was more than offset by a $41.4 million decrease in non-cash charges and a $1.1 million increase in net cash outflow from changes in operating assets and liabilities. The decrease in non-cash charges was primarily due to a $45.6 million decrease in deferred taxes, partially offset by a $5.7 million increase in other losses, net. The increase in net cash outflow from changes in operating assets and liabilities was primarily due to increases of $37.7 million for accounts receivable and $5.1 million for other liabilities, partially offset by decreases of $14.9 million for accrued expenses and other current liabilities, $8.4 million for accounts payable, $2.6 million for prepaid expenses and other current assets, and $2.1 million for mortgage loans held for sale, as well as a $14.0 million payment for contingent consideration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$0.2 million in 2024 compared to 2023, primarily due to an $8.1 million purchase of an investment and $0.3 million of cash paid, net of cash acquired, for our acquisition of NDL in 2024, substantially offset by an $8.1 million decrease in capitalized software development costs.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$50.3 million in 2024, primarily due to a $60.1 million increase in repurchases of Class A common stock, a $3.9 million decrease from exercises of stock options and a $2.0 million net payment on our warehouse line of credit, partially offset by a $16.9 million payment in 2023 for contingent consideration recorded at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policies we believe to be most critical to understanding our financial condition and results of operations are discussed below. For a comprehensive list of all significant accounting policies, see Note 1–The Company and its Significant Accounting Policies in the notes to consolidated financial statements in Item 8 of Part II of this Annual Report on Form 10-K.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Valuation of Goodwill and 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assessments in 2024, 2023 and 2022, we determined that it was not more likely than not that the fair value of its single reporting unit was less than its carrying amount. As such, goodwill was not impaired during 2024, 2023 or 2022.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Deferred Tax Asset Valuation Allowances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past assessment of all available evidence, both positive and negative, including consideration of our historical profitability and the estimated impact of our operating model on future profitability, we had previously maintained a valuation allowance against our net U.S. deferred tax assets as of December 31, 2023. During the three months ended December 31, 2024, we concluded that it was more likely than not that our net U.S.Federal and majority state deferred tax assets would be realized, with a significant improvement in our profitability, coupled with anticipated future earnings, deemed to provide positive evidence to support sufficient taxable income in future periods, and accordingly we recorded a valuation allowance release of $27.2 million. We continue to maintain a valuation allowance on our California deferred tax assets, which consist primarily of tax credits, as of December 31, 2024. Our judgment regarding the likelihood of realization of these deferred tax assets could change in future periods, which could result in a material impact to our income tax provision in the period of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Recently Issued and Adopted Accounting Pronouncements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on recent accounting pronouncements, see Note 1–The Company and its Significant Accounting Policies in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all of our revenue is generated in U.S. dollars, with the remainder generated in British pounds sterling and the Canadian dollar. Our expenses are generally denominated in the currencies of the jurisdictions in which we conduct our operations, which are primarily in the U.S., UK and Canada.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2024, 2023 and 2022.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primarily consist of cash on hand and highly liquid investments in money market instruments and U.S. government securities. We had cash and cash equivalents of $66.3 million and $100.4 million as of December 31, 2024 and 2023,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Factors—Risks Related to Our Industry and the Consumer Finance Economy.”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future borrowings on our line of credit would be subject to changes in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NerdWallet, Inc.</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7861" w:type="dxa"/>
        <w:jc w:val="center"/>
        <w:tblInd w:w="0" w:type="dxa"/>
        <w:tblLayout w:type="fixed"/>
        <w:tblCellMar>
          <w:top w:w="28" w:type="dxa"/>
          <w:left w:w="28" w:type="dxa"/>
          <w:bottom w:w="28" w:type="dxa"/>
          <w:right w:w="28" w:type="dxa"/>
        </w:tblCellMar>
      </w:tblPr>
      <w:tblGrid>
        <w:gridCol w:w="2660"/>
        <w:gridCol w:w="2338"/>
        <w:gridCol w:w="2352"/>
        <w:gridCol w:w="149"/>
        <w:gridCol w:w="149"/>
        <w:gridCol w:w="213"/>
      </w:tblGrid>
      <w:tr>
        <w:trPr/>
        <w:tc>
          <w:tcPr>
            <w:tcW w:w="266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91">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pPr>
            <w:hyperlink w:anchor="ief073f9aeeec489782e913f24058c024_91">
              <w:r>
                <w:rPr>
                  <w:rStyle w:val="InternetLink"/>
                  <w:rFonts w:ascii="Times New Roman;sans-serif" w:hAnsi="Times New Roman;sans-serif"/>
                  <w:b w:val="false"/>
                  <w:strike w:val="false"/>
                  <w:dstrike w:val="false"/>
                  <w:color w:val="000000"/>
                  <w:sz w:val="20"/>
                  <w:u w:val="none"/>
                  <w:effect w:val="none"/>
                </w:rPr>
                <w:t>61</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NerdWallet, Inc. and its Consolidated Subsidiaries: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94">
              <w:r>
                <w:rPr>
                  <w:rStyle w:val="InternetLink"/>
                  <w:rFonts w:ascii="Times New Roman;sans-serif" w:hAnsi="Times New Roman;sans-serif"/>
                  <w:b w:val="false"/>
                  <w:strike w:val="false"/>
                  <w:dstrike w:val="false"/>
                  <w:color w:val="000000"/>
                  <w:sz w:val="20"/>
                  <w:u w:val="none"/>
                  <w:effect w:val="non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073f9aeeec489782e913f24058c024_94">
              <w:r>
                <w:rPr>
                  <w:rStyle w:val="InternetLink"/>
                  <w:rFonts w:ascii="Times New Roman;sans-serif" w:hAnsi="Times New Roman;sans-serif"/>
                  <w:b w:val="false"/>
                  <w:strike w:val="false"/>
                  <w:dstrike w:val="false"/>
                  <w:color w:val="000000"/>
                  <w:sz w:val="20"/>
                  <w:u w:val="none"/>
                  <w:effect w:val="none"/>
                </w:rPr>
                <w:t>62</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97">
              <w:r>
                <w:rPr>
                  <w:rStyle w:val="InternetLink"/>
                  <w:rFonts w:ascii="Times New Roman;sans-serif" w:hAnsi="Times New Roman;sans-serif"/>
                  <w:b w:val="false"/>
                  <w:strike w:val="false"/>
                  <w:dstrike w:val="false"/>
                  <w:color w:val="000000"/>
                  <w:sz w:val="20"/>
                  <w:u w:val="none"/>
                  <w:effect w:val="non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073f9aeeec489782e913f24058c024_97">
              <w:r>
                <w:rPr>
                  <w:rStyle w:val="InternetLink"/>
                  <w:rFonts w:ascii="Times New Roman;sans-serif" w:hAnsi="Times New Roman;sans-serif"/>
                  <w:b w:val="false"/>
                  <w:strike w:val="false"/>
                  <w:dstrike w:val="false"/>
                  <w:color w:val="000000"/>
                  <w:sz w:val="20"/>
                  <w:u w:val="none"/>
                  <w:effect w:val="none"/>
                </w:rPr>
                <w:t>63</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100">
              <w:r>
                <w:rPr>
                  <w:rStyle w:val="InternetLink"/>
                  <w:rFonts w:ascii="Times New Roman;sans-serif" w:hAnsi="Times New Roman;sans-serif"/>
                  <w:b w:val="false"/>
                  <w:strike w:val="false"/>
                  <w:dstrike w:val="false"/>
                  <w:color w:val="000080"/>
                  <w:sz w:val="20"/>
                  <w:u w:val="single"/>
                  <w:effect w:val="none"/>
                </w:rPr>
                <w:t xml:space="preserve">Consolidated Statements of Comprehensive </w:t>
              </w:r>
            </w:hyperlink>
            <w:hyperlink w:anchor="ief073f9aeeec489782e913f24058c024_100">
              <w:r>
                <w:rPr>
                  <w:rStyle w:val="InternetLink"/>
                  <w:rFonts w:ascii="Times New Roman;sans-serif" w:hAnsi="Times New Roman;sans-serif"/>
                  <w:b w:val="false"/>
                  <w:strike w:val="false"/>
                  <w:dstrike w:val="false"/>
                  <w:color w:val="000080"/>
                  <w:sz w:val="20"/>
                  <w:u w:val="single"/>
                  <w:effect w:val="none"/>
                </w:rPr>
                <w:t>Income (</w:t>
              </w:r>
            </w:hyperlink>
            <w:hyperlink w:anchor="ief073f9aeeec489782e913f24058c024_100">
              <w:r>
                <w:rPr>
                  <w:rStyle w:val="InternetLink"/>
                  <w:rFonts w:ascii="Times New Roman;sans-serif" w:hAnsi="Times New Roman;sans-serif"/>
                  <w:b w:val="false"/>
                  <w:strike w:val="false"/>
                  <w:dstrike w:val="false"/>
                  <w:color w:val="000080"/>
                  <w:sz w:val="20"/>
                  <w:u w:val="single"/>
                  <w:effect w:val="none"/>
                </w:rPr>
                <w:t>Loss</w:t>
              </w:r>
            </w:hyperlink>
            <w:r>
              <w:rPr>
                <w:rFonts w:ascii="Times New Roman;sans-serif" w:hAnsi="Times New Roman;sans-serif"/>
                <w:b w:val="false"/>
                <w:color w:val="000000"/>
                <w:sz w:val="20"/>
              </w:rPr>
              <w:t>)</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073f9aeeec489782e913f24058c024_100">
              <w:r>
                <w:rPr>
                  <w:rStyle w:val="InternetLink"/>
                  <w:rFonts w:ascii="Times New Roman;sans-serif" w:hAnsi="Times New Roman;sans-serif"/>
                  <w:b w:val="false"/>
                  <w:strike w:val="false"/>
                  <w:dstrike w:val="false"/>
                  <w:color w:val="000000"/>
                  <w:sz w:val="20"/>
                  <w:u w:val="none"/>
                  <w:effect w:val="none"/>
                </w:rPr>
                <w:t>64</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103">
              <w:r>
                <w:rPr>
                  <w:rStyle w:val="InternetLink"/>
                  <w:rFonts w:ascii="Times New Roman;sans-serif" w:hAnsi="Times New Roman;sans-serif"/>
                  <w:b w:val="false"/>
                  <w:strike w:val="false"/>
                  <w:dstrike w:val="false"/>
                  <w:color w:val="000000"/>
                  <w:sz w:val="20"/>
                  <w:u w:val="none"/>
                  <w:effect w:val="non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073f9aeeec489782e913f24058c024_103">
              <w:r>
                <w:rPr>
                  <w:rStyle w:val="InternetLink"/>
                  <w:rFonts w:ascii="Times New Roman;sans-serif" w:hAnsi="Times New Roman;sans-serif"/>
                  <w:b w:val="false"/>
                  <w:strike w:val="false"/>
                  <w:dstrike w:val="false"/>
                  <w:color w:val="000000"/>
                  <w:sz w:val="20"/>
                  <w:u w:val="none"/>
                  <w:effect w:val="none"/>
                </w:rPr>
                <w:t>65</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106">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073f9aeeec489782e913f24058c024_106">
              <w:r>
                <w:rPr>
                  <w:rStyle w:val="InternetLink"/>
                  <w:rFonts w:ascii="Times New Roman;sans-serif" w:hAnsi="Times New Roman;sans-serif"/>
                  <w:b w:val="false"/>
                  <w:strike w:val="false"/>
                  <w:dstrike w:val="false"/>
                  <w:color w:val="000000"/>
                  <w:sz w:val="20"/>
                  <w:u w:val="none"/>
                  <w:effect w:val="none"/>
                </w:rPr>
                <w:t>66</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073f9aeeec489782e913f24058c024_109">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f073f9aeeec489782e913f24058c024_109">
              <w:r>
                <w:rPr>
                  <w:rStyle w:val="InternetLink"/>
                  <w:rFonts w:ascii="Times New Roman;sans-serif" w:hAnsi="Times New Roman;sans-serif"/>
                  <w:b w:val="false"/>
                  <w:strike w:val="false"/>
                  <w:dstrike w:val="false"/>
                  <w:color w:val="000000"/>
                  <w:sz w:val="20"/>
                  <w:u w:val="none"/>
                  <w:effect w:val="none"/>
                </w:rPr>
                <w:t>68</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as the information is provided in the financial statements or in related notes thereto, or is not required to be filed as the information is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NerdWallet,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NerdWallet, Inc. and subsidiaries (the “Company”) as of December 31, 2024 and 2023, and the related consolidated statements of operations, comprehensive income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cash flows for each of the three years in the period ended December 31, 2024, in conformity with accounting principles generally accepted in the United States of America.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09"/>
        <w:gridCol w:w="2343"/>
        <w:gridCol w:w="2351"/>
        <w:gridCol w:w="109"/>
        <w:gridCol w:w="109"/>
        <w:gridCol w:w="109"/>
        <w:gridCol w:w="211"/>
        <w:gridCol w:w="631"/>
        <w:gridCol w:w="109"/>
        <w:gridCol w:w="109"/>
        <w:gridCol w:w="109"/>
        <w:gridCol w:w="109"/>
        <w:gridCol w:w="211"/>
        <w:gridCol w:w="631"/>
        <w:gridCol w:w="155"/>
      </w:tblGrid>
      <w:tr>
        <w:trPr/>
        <w:tc>
          <w:tcPr>
            <w:tcW w:w="2909"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418.6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stock—$0.0001 par value per share—5,000 shares authorized; zero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stock—$0.0001 par value per share—296,686 shares authorized; 74,108 and 76,940 shares issued and outstanding as of December 31,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437.6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418.6</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lineRule="auto" w:line="288" w:before="240" w:after="60"/>
        <w:jc w:val="center"/>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91"/>
        <w:gridCol w:w="1912"/>
        <w:gridCol w:w="1921"/>
        <w:gridCol w:w="109"/>
        <w:gridCol w:w="109"/>
        <w:gridCol w:w="109"/>
        <w:gridCol w:w="211"/>
        <w:gridCol w:w="631"/>
        <w:gridCol w:w="109"/>
        <w:gridCol w:w="109"/>
        <w:gridCol w:w="109"/>
        <w:gridCol w:w="109"/>
        <w:gridCol w:w="211"/>
        <w:gridCol w:w="631"/>
        <w:gridCol w:w="109"/>
        <w:gridCol w:w="109"/>
        <w:gridCol w:w="109"/>
        <w:gridCol w:w="109"/>
        <w:gridCol w:w="211"/>
        <w:gridCol w:w="631"/>
        <w:gridCol w:w="156"/>
      </w:tblGrid>
      <w:tr>
        <w:trPr/>
        <w:tc>
          <w:tcPr>
            <w:tcW w:w="249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538.9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Weighted-average Shares Used in Computing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lineRule="auto" w:line="288" w:before="240" w:after="60"/>
        <w:jc w:val="center"/>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18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6938" w:type="dxa"/>
        <w:jc w:val="center"/>
        <w:tblInd w:w="0" w:type="dxa"/>
        <w:tblLayout w:type="fixed"/>
        <w:tblCellMar>
          <w:top w:w="28" w:type="dxa"/>
          <w:left w:w="28" w:type="dxa"/>
          <w:bottom w:w="28" w:type="dxa"/>
          <w:right w:w="28" w:type="dxa"/>
        </w:tblCellMar>
      </w:tblPr>
      <w:tblGrid>
        <w:gridCol w:w="1181"/>
        <w:gridCol w:w="1036"/>
        <w:gridCol w:w="1052"/>
        <w:gridCol w:w="109"/>
        <w:gridCol w:w="109"/>
        <w:gridCol w:w="109"/>
        <w:gridCol w:w="211"/>
        <w:gridCol w:w="511"/>
        <w:gridCol w:w="109"/>
        <w:gridCol w:w="109"/>
        <w:gridCol w:w="109"/>
        <w:gridCol w:w="109"/>
        <w:gridCol w:w="211"/>
        <w:gridCol w:w="586"/>
        <w:gridCol w:w="109"/>
        <w:gridCol w:w="109"/>
        <w:gridCol w:w="109"/>
        <w:gridCol w:w="109"/>
        <w:gridCol w:w="211"/>
        <w:gridCol w:w="58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1017"/>
        <w:gridCol w:w="472"/>
        <w:gridCol w:w="473"/>
        <w:gridCol w:w="109"/>
        <w:gridCol w:w="109"/>
        <w:gridCol w:w="109"/>
        <w:gridCol w:w="368"/>
        <w:gridCol w:w="368"/>
        <w:gridCol w:w="196"/>
        <w:gridCol w:w="109"/>
        <w:gridCol w:w="109"/>
        <w:gridCol w:w="109"/>
        <w:gridCol w:w="211"/>
        <w:gridCol w:w="406"/>
        <w:gridCol w:w="109"/>
        <w:gridCol w:w="109"/>
        <w:gridCol w:w="109"/>
        <w:gridCol w:w="109"/>
        <w:gridCol w:w="231"/>
        <w:gridCol w:w="691"/>
        <w:gridCol w:w="119"/>
        <w:gridCol w:w="109"/>
        <w:gridCol w:w="109"/>
        <w:gridCol w:w="109"/>
        <w:gridCol w:w="407"/>
        <w:gridCol w:w="811"/>
        <w:gridCol w:w="211"/>
        <w:gridCol w:w="109"/>
        <w:gridCol w:w="109"/>
        <w:gridCol w:w="109"/>
        <w:gridCol w:w="242"/>
        <w:gridCol w:w="726"/>
        <w:gridCol w:w="126"/>
        <w:gridCol w:w="109"/>
        <w:gridCol w:w="109"/>
        <w:gridCol w:w="109"/>
        <w:gridCol w:w="223"/>
        <w:gridCol w:w="667"/>
        <w:gridCol w:w="169"/>
      </w:tblGrid>
      <w:tr>
        <w:trPr/>
        <w:tc>
          <w:tcPr>
            <w:tcW w:w="101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62"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962"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66,722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331.6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(74.5)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257.6</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surrendered for employees’ tax liability upon settlement of restricted stock units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for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75,120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427.3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(84.7)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341.7</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76,940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(116.5)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366.9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74,108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530.9</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364.2</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lineRule="auto" w:line="288" w:before="240" w:after="60"/>
        <w:jc w:val="center"/>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66"/>
        <w:gridCol w:w="2057"/>
        <w:gridCol w:w="2088"/>
        <w:gridCol w:w="109"/>
        <w:gridCol w:w="109"/>
        <w:gridCol w:w="109"/>
        <w:gridCol w:w="211"/>
        <w:gridCol w:w="511"/>
        <w:gridCol w:w="109"/>
        <w:gridCol w:w="109"/>
        <w:gridCol w:w="109"/>
        <w:gridCol w:w="109"/>
        <w:gridCol w:w="211"/>
        <w:gridCol w:w="616"/>
        <w:gridCol w:w="109"/>
        <w:gridCol w:w="109"/>
        <w:gridCol w:w="109"/>
        <w:gridCol w:w="109"/>
        <w:gridCol w:w="211"/>
        <w:gridCol w:w="579"/>
        <w:gridCol w:w="156"/>
      </w:tblGrid>
      <w:tr>
        <w:trPr/>
        <w:tc>
          <w:tcPr>
            <w:tcW w:w="236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repayment on 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offering costs related to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lineRule="auto" w:line="288" w:before="240" w:after="60"/>
        <w:jc w:val="center"/>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00"/>
        <w:gridCol w:w="2128"/>
        <w:gridCol w:w="2161"/>
        <w:gridCol w:w="109"/>
        <w:gridCol w:w="109"/>
        <w:gridCol w:w="109"/>
        <w:gridCol w:w="211"/>
        <w:gridCol w:w="511"/>
        <w:gridCol w:w="109"/>
        <w:gridCol w:w="109"/>
        <w:gridCol w:w="109"/>
        <w:gridCol w:w="109"/>
        <w:gridCol w:w="211"/>
        <w:gridCol w:w="511"/>
        <w:gridCol w:w="109"/>
        <w:gridCol w:w="109"/>
        <w:gridCol w:w="109"/>
        <w:gridCol w:w="109"/>
        <w:gridCol w:w="211"/>
        <w:gridCol w:w="406"/>
        <w:gridCol w:w="156"/>
      </w:tblGrid>
      <w:tr>
        <w:trPr/>
        <w:tc>
          <w:tcPr>
            <w:tcW w:w="2500"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recorded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A common stock recorded in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 Related to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1.The Company and its Significant Accounting Policies</w:t>
      </w:r>
    </w:p>
    <w:p>
      <w:pPr>
        <w:pStyle w:val="TextBody"/>
        <w:bidi w:val="0"/>
        <w:spacing w:lineRule="auto" w:line="288" w:before="0" w:after="180"/>
        <w:ind w:left="0" w:right="0" w:firstLine="360"/>
        <w:jc w:val="both"/>
        <w:rPr/>
      </w:pPr>
      <w:r>
        <w:rPr>
          <w:rFonts w:ascii="Times New Roman;sans-serif" w:hAnsi="Times New Roman;sans-serif"/>
          <w:b/>
          <w:color w:val="000000"/>
          <w:sz w:val="20"/>
        </w:rPr>
        <w:t>Organization—</w:t>
      </w:r>
      <w:r>
        <w:rPr>
          <w:rFonts w:ascii="Times New Roman;sans-serif" w:hAnsi="Times New Roman;sans-serif"/>
          <w:b w:val="false"/>
          <w:color w:val="000000"/>
          <w:sz w:val="20"/>
        </w:rPr>
        <w:t>NerdWallet, Inc., a Delaware corporation, was formed on December 29, 2011. NerdWallet, Inc. and its subsidiaries (collectively, the Company) provide consumer-driven advice about personal finance through its platform by connecting individuals and small and mid-sized businesses (SMBs) with providers of financial products.</w:t>
      </w:r>
    </w:p>
    <w:p>
      <w:pPr>
        <w:pStyle w:val="TextBody"/>
        <w:bidi w:val="0"/>
        <w:spacing w:lineRule="auto" w:line="288" w:before="0" w:after="180"/>
        <w:ind w:left="0" w:right="0" w:firstLine="360"/>
        <w:jc w:val="both"/>
        <w:rPr/>
      </w:pPr>
      <w:r>
        <w:rPr>
          <w:rFonts w:ascii="Times New Roman;sans-serif" w:hAnsi="Times New Roman;sans-serif"/>
          <w:b/>
          <w:color w:val="000000"/>
          <w:sz w:val="20"/>
        </w:rPr>
        <w:t>Basis of Consolidation and Presentation—</w:t>
      </w: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(GAAP). The consolidated financial statements include the accounts of the Company and its wholly-owned subsidiaries. All intercompany transactions and balances have been eliminated in consolidation. Certain comparative amounts for prior fiscal years have been reclassified to conform to the financial statement presentation as of and for the year ended December 31, 2024.</w:t>
      </w:r>
    </w:p>
    <w:p>
      <w:pPr>
        <w:pStyle w:val="TextBody"/>
        <w:bidi w:val="0"/>
        <w:spacing w:lineRule="auto" w:line="288" w:before="0" w:after="180"/>
        <w:ind w:left="0" w:right="0" w:firstLine="360"/>
        <w:jc w:val="both"/>
        <w:rPr/>
      </w:pPr>
      <w:r>
        <w:rPr>
          <w:rFonts w:ascii="Times New Roman;sans-serif" w:hAnsi="Times New Roman;sans-serif"/>
          <w:b/>
          <w:color w:val="000000"/>
          <w:sz w:val="20"/>
        </w:rPr>
        <w:t>Segments—</w:t>
      </w:r>
      <w:r>
        <w:rPr>
          <w:rFonts w:ascii="Times New Roman;sans-serif" w:hAnsi="Times New Roman;sans-serif"/>
          <w:b w:val="false"/>
          <w:color w:val="000000"/>
          <w:sz w:val="20"/>
        </w:rPr>
        <w:t>Operating segments are defined as components of an enterprise for which discrete financial information is available that is reviewed regularly by the Chief Operating Decision Maker (CODM) in deciding how to allocate resources and in assessing performance. The Company’s CODM is its Chief Executive Officer, who regularly reviews consolidated net income (loss) as reported on the consolidated statements of operations, along with other financial information presented on a consolidated basis, for purposes of allocating resources and evaluating financial performance, including non-GAAP operating income (loss) and adjusted EBITDA which are key performance indicators to assess operational efficiency and profitability. As a result, the Company has concluded that it has one operating segment. The measure of segment assets is presented as total assets in the consolidated balance sheets. Significantly all of the Company’s revenue in 2024, 2023 and 2022 was from customers located in the United States. Significantly all of the Company’s long-lived assets as of December 31, 2024 and 2023 were located in the United States.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segment costs and expenses, along with a reconciliation to income (loss) from operations, are as follows:</w:t>
      </w:r>
    </w:p>
    <w:tbl>
      <w:tblPr>
        <w:tblW w:w="7854" w:type="dxa"/>
        <w:jc w:val="left"/>
        <w:tblInd w:w="0" w:type="dxa"/>
        <w:tblLayout w:type="fixed"/>
        <w:tblCellMar>
          <w:top w:w="28" w:type="dxa"/>
          <w:left w:w="28" w:type="dxa"/>
          <w:bottom w:w="28" w:type="dxa"/>
          <w:right w:w="28" w:type="dxa"/>
        </w:tblCellMar>
      </w:tblPr>
      <w:tblGrid>
        <w:gridCol w:w="1435"/>
        <w:gridCol w:w="1260"/>
        <w:gridCol w:w="1280"/>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Personnel-related expenses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internally developed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segment costs and expenses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Gross of capitalized internally developed software costs.</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Primarily includes cost of revenue and non-personnel-related operating expenses (each excluding depreciation and amortization), restructuring charges, and acquisition-related retention and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items included in consolidated net income (loss) are presented in the consolidated statements of operations, and comprised of other income (expense), net, and income tax provision (benefit).</w:t>
      </w:r>
    </w:p>
    <w:p>
      <w:pPr>
        <w:pStyle w:val="TextBody"/>
        <w:bidi w:val="0"/>
        <w:spacing w:lineRule="auto" w:line="288" w:before="0" w:after="180"/>
        <w:ind w:left="0" w:right="0" w:firstLine="360"/>
        <w:jc w:val="both"/>
        <w:rPr/>
      </w:pPr>
      <w:r>
        <w:rPr>
          <w:rFonts w:ascii="Times New Roman;sans-serif" w:hAnsi="Times New Roman;sans-serif"/>
          <w:b/>
          <w:color w:val="000000"/>
          <w:sz w:val="20"/>
        </w:rPr>
        <w:t>Use of Estimates—</w:t>
      </w:r>
      <w:r>
        <w:rPr>
          <w:rFonts w:ascii="Times New Roman;sans-serif" w:hAnsi="Times New Roman;sans-serif"/>
          <w:b w:val="false"/>
          <w:color w:val="000000"/>
          <w:sz w:val="20"/>
        </w:rPr>
        <w:t xml:space="preserve">The preparation of consolidated financial statements in conformity with GAAP requires management to make estimates and assumptions that affect the amounts reported in the consolidated financial statements and accompanying notes. Significant estimates and assumptions made by management include determination of stock-based compensation, capitalization of software development costs, valuation of contingent consideration, valuation of goodwill and intangible assets, determination of associated useful lives of intangible assets and valuation of deferred tax assets. Management bases its estimates on historical experience and also on assumptions that it believes are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Concentrations of Credit Risk—</w:t>
      </w: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 While the Company deposits cash and cash equivalents with high credit quality financial institutions, including First Citizens Bank &amp; Trust Company (through its Silicon Valley Bank division), HSBC and JPMorgan Chase Bank, N.A., to lessen the Company’s exposure, such cash deposits may exceed federally insured limits at these financial institutions. To mitigate the risk associated with deposits exceeding federally insured limits, the Company manages exposure by utilizing deposit accounts which include sweep features to third-party money market funds, with total money market funds of $36.8 million and $89.8 million as of December 31, 2024 and 2023, respectively. Based on these facts, collectability of bank balances appears to be adequately assured.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two customers which accounted for 14% and 13% of total accounts receivable as of December 31, 2024, and one customer which accounted for 14% of total accounts receivable as of December 31, 2023. The Company had two customers which accounted for 22% and 11% of revenue in 2024, two customers which accounted for 13% and 11% of revenue in 2023, and one customer which accounted for 12% of revenue in 2022. The Company’s customers are considered to be financial services providers (e.g., banks, credit card issuers, lenders, investment brokers and other entities) that seek to reach and receive leads, matches and referrals to the Company’s substantial audience of consumers (including SMBs) in exchange for agreed-upon fees.</w:t>
      </w:r>
    </w:p>
    <w:p>
      <w:pPr>
        <w:pStyle w:val="TextBody"/>
        <w:bidi w:val="0"/>
        <w:spacing w:lineRule="auto" w:line="288" w:before="0" w:after="180"/>
        <w:ind w:left="0" w:right="0" w:firstLine="360"/>
        <w:jc w:val="both"/>
        <w:rPr/>
      </w:pPr>
      <w:r>
        <w:rPr>
          <w:rFonts w:ascii="Times New Roman;sans-serif" w:hAnsi="Times New Roman;sans-serif"/>
          <w:b/>
          <w:color w:val="000000"/>
          <w:sz w:val="20"/>
        </w:rPr>
        <w:t>Foreign Currency Transactions—</w:t>
      </w:r>
      <w:r>
        <w:rPr>
          <w:rFonts w:ascii="Times New Roman;sans-serif" w:hAnsi="Times New Roman;sans-serif"/>
          <w:b w:val="false"/>
          <w:color w:val="000000"/>
          <w:sz w:val="20"/>
        </w:rPr>
        <w:t>The functional currency of the Company’s foreign subsidiaries is the respective local currency. All assets and 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in the consolidated statement of comprehensive income (loss), and in effect of exchange rate changes on cash and cash equivalents in the consolidated statement of cash flows. Transaction gains and losses, including intercompany transactions denominated in a currency other than the functional currency of the entity involved, are included in other losses, net in the consolidated statement of operations and were immaterial for all periods presented.</w:t>
      </w:r>
    </w:p>
    <w:p>
      <w:pPr>
        <w:pStyle w:val="TextBody"/>
        <w:bidi w:val="0"/>
        <w:spacing w:lineRule="auto" w:line="288" w:before="0" w:after="180"/>
        <w:ind w:left="0" w:right="0" w:firstLine="360"/>
        <w:jc w:val="both"/>
        <w:rPr/>
      </w:pPr>
      <w:r>
        <w:rPr>
          <w:rFonts w:ascii="Times New Roman;sans-serif" w:hAnsi="Times New Roman;sans-serif"/>
          <w:b/>
          <w:color w:val="000000"/>
          <w:sz w:val="20"/>
        </w:rPr>
        <w:t>Cash and Cash Equivalents—</w:t>
      </w:r>
      <w:r>
        <w:rPr>
          <w:rFonts w:ascii="Times New Roman;sans-serif" w:hAnsi="Times New Roman;sans-serif"/>
          <w:b w:val="false"/>
          <w:color w:val="000000"/>
          <w:sz w:val="20"/>
        </w:rPr>
        <w:t>Cash and cash equivalents include on demand deposits and money market funds with banks that have remaining maturities at the date of purchase of less than 90 days.</w:t>
      </w:r>
    </w:p>
    <w:p>
      <w:pPr>
        <w:pStyle w:val="TextBody"/>
        <w:bidi w:val="0"/>
        <w:spacing w:lineRule="auto" w:line="288" w:before="0" w:after="180"/>
        <w:ind w:left="0" w:right="0" w:firstLine="360"/>
        <w:jc w:val="both"/>
        <w:rPr/>
      </w:pPr>
      <w:r>
        <w:rPr>
          <w:rFonts w:ascii="Times New Roman;sans-serif" w:hAnsi="Times New Roman;sans-serif"/>
          <w:b/>
          <w:color w:val="000000"/>
          <w:sz w:val="20"/>
        </w:rPr>
        <w:t>Fair Value Measurements—</w:t>
      </w:r>
      <w:r>
        <w:rPr>
          <w:rFonts w:ascii="Times New Roman;sans-serif" w:hAnsi="Times New Roman;sans-serif"/>
          <w:b w:val="false"/>
          <w:color w:val="000000"/>
          <w:sz w:val="20"/>
        </w:rPr>
        <w:t>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pStyle w:val="TextBody"/>
        <w:bidi w:val="0"/>
        <w:spacing w:lineRule="auto" w:line="288" w:before="0" w:after="180"/>
        <w:ind w:left="0" w:right="0" w:firstLine="360"/>
        <w:jc w:val="both"/>
        <w:rPr/>
      </w:pP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80"/>
        <w:ind w:left="0" w:right="0" w:firstLine="360"/>
        <w:jc w:val="both"/>
        <w:rPr/>
      </w:pP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included within Level 1, including quoted prices for similar assets or liabilities in active markets; quoted prices for identical or similar assets or liabilities in markets that are not active; and inputs other than quoted prices that are observable or are derived principally from, or corroborated by, observable market data by correlation or other means.</w:t>
      </w:r>
    </w:p>
    <w:p>
      <w:pPr>
        <w:pStyle w:val="TextBody"/>
        <w:bidi w:val="0"/>
        <w:spacing w:lineRule="auto" w:line="288" w:before="0" w:after="180"/>
        <w:ind w:left="0" w:right="0" w:firstLine="360"/>
        <w:jc w:val="both"/>
        <w:rPr/>
      </w:pP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transfers among Level 1, Level 2 and Level 3 classifications as of the actual date of the events or change in circumstances that caused the transfers.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the Company’s cash and cash equivalents, accounts receivable-net, and accounts payable and other accrued expenses are deemed to approximate fair value due to their short-term and highly liquid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Trade Accounts Receivable</w:t>
      </w:r>
      <w:r>
        <w:rPr>
          <w:color w:val="000000"/>
        </w:rPr>
        <w:t>—</w:t>
      </w:r>
      <w:r>
        <w:rPr>
          <w:rFonts w:ascii="Times New Roman;sans-serif" w:hAnsi="Times New Roman;sans-serif"/>
          <w:b w:val="false"/>
          <w:color w:val="000000"/>
          <w:sz w:val="20"/>
        </w:rPr>
        <w:t>Trade accounts receivable are recorded at the invoiced amount or amounts due from customers via affiliate relationships at the end of each month. Invoiced amounts do not bear interest. The Company generally does not require collateral or other security in support of accounts receivable. Accounts receivable are past due when they are outstanding longer than the contractual payment terms. The Company determines an allowance for credit losses by considering available information, including the length of time accounts receivable are past due, previous loss history, and reasonable and supportable expectations regarding the specific customer’s ability to pay its financial obligations. If the Company becomes aware of changes in circumstances that are indicative of a customer’s inability to meet its financial obligations, such as in the case of bankruptcy, deterioration in operating results or changes in financial position, estimates of the allowance for credit losses are further adjusted. The allowance for credit losses was $0.5 million and $1.3 million as of December 31, 2024 and 2023, respectively. The Company does not have any off-balance-sheet credit exposure related to its customers.</w:t>
      </w:r>
    </w:p>
    <w:p>
      <w:pPr>
        <w:pStyle w:val="TextBody"/>
        <w:bidi w:val="0"/>
        <w:spacing w:lineRule="auto" w:line="288" w:before="0" w:after="180"/>
        <w:ind w:left="0" w:right="0" w:firstLine="360"/>
        <w:jc w:val="both"/>
        <w:rPr/>
      </w:pPr>
      <w:r>
        <w:rPr>
          <w:rFonts w:ascii="Times New Roman;sans-serif" w:hAnsi="Times New Roman;sans-serif"/>
          <w:b/>
          <w:color w:val="000000"/>
          <w:sz w:val="20"/>
        </w:rPr>
        <w:t>Property, Equipment, and Software, Net</w:t>
      </w:r>
      <w:r>
        <w:rPr>
          <w:color w:val="000000"/>
        </w:rPr>
        <w:t>—</w:t>
      </w:r>
      <w:r>
        <w:rPr>
          <w:rFonts w:ascii="Times New Roman;sans-serif" w:hAnsi="Times New Roman;sans-serif"/>
          <w:b w:val="false"/>
          <w:color w:val="000000"/>
          <w:sz w:val="20"/>
        </w:rPr>
        <w:t>Property, equipment, and software are stated at cost, less accumulated depreciation and amortization. 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 of operations.</w:t>
      </w:r>
    </w:p>
    <w:p>
      <w:pPr>
        <w:pStyle w:val="TextBody"/>
        <w:bidi w:val="0"/>
        <w:spacing w:lineRule="auto" w:line="288" w:before="0" w:after="180"/>
        <w:ind w:left="0" w:right="0" w:firstLine="360"/>
        <w:jc w:val="both"/>
        <w:rPr/>
      </w:pPr>
      <w:r>
        <w:rPr>
          <w:rFonts w:ascii="Times New Roman;sans-serif" w:hAnsi="Times New Roman;sans-serif"/>
          <w:b/>
          <w:color w:val="000000"/>
          <w:sz w:val="20"/>
        </w:rPr>
        <w:t>Capitalized Software Development Costs</w:t>
      </w:r>
      <w:r>
        <w:rPr>
          <w:color w:val="000000"/>
        </w:rPr>
        <w:t>—</w:t>
      </w:r>
      <w:r>
        <w:rPr>
          <w:rFonts w:ascii="Times New Roman;sans-serif" w:hAnsi="Times New Roman;sans-serif"/>
          <w:b w:val="false"/>
          <w:color w:val="000000"/>
          <w:sz w:val="20"/>
        </w:rPr>
        <w:t xml:space="preserve">The costs incurred in the preliminary stages of website and software development are expensed as 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is included within cost of revenue in the consolidated statement of operations.</w:t>
      </w:r>
    </w:p>
    <w:p>
      <w:pPr>
        <w:pStyle w:val="TextBody"/>
        <w:bidi w:val="0"/>
        <w:spacing w:lineRule="auto" w:line="288" w:before="0" w:after="180"/>
        <w:ind w:left="0" w:right="0" w:firstLine="360"/>
        <w:jc w:val="both"/>
        <w:rPr/>
      </w:pPr>
      <w:r>
        <w:rPr>
          <w:rFonts w:ascii="Times New Roman;sans-serif" w:hAnsi="Times New Roman;sans-serif"/>
          <w:b/>
          <w:color w:val="000000"/>
          <w:sz w:val="20"/>
        </w:rPr>
        <w:t>Business Combinations</w:t>
      </w:r>
      <w:r>
        <w:rPr>
          <w:color w:val="000000"/>
        </w:rPr>
        <w:t>—</w:t>
      </w:r>
      <w:r>
        <w:rPr>
          <w:rFonts w:ascii="Times New Roman;sans-serif" w:hAnsi="Times New Roman;sans-serif"/>
          <w:b w:val="false"/>
          <w:color w:val="000000"/>
          <w:sz w:val="20"/>
        </w:rPr>
        <w:t xml:space="preserve">The Company recognizes identifiable assets acquired and liabilities assumed at their acquisition date fair value. Goodwill as 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 of operations. As of December 31, 2024, the Company has not recorded material measurement period adjustments in connection with its business combinations. </w:t>
      </w:r>
    </w:p>
    <w:p>
      <w:pPr>
        <w:pStyle w:val="TextBody"/>
        <w:bidi w:val="0"/>
        <w:spacing w:lineRule="auto" w:line="288" w:before="0" w:after="180"/>
        <w:ind w:left="0" w:right="0" w:firstLine="360"/>
        <w:jc w:val="both"/>
        <w:rPr/>
      </w:pPr>
      <w:r>
        <w:rPr>
          <w:rFonts w:ascii="Times New Roman;sans-serif" w:hAnsi="Times New Roman;sans-serif"/>
          <w:b/>
          <w:color w:val="000000"/>
          <w:sz w:val="20"/>
        </w:rPr>
        <w:t>Contingent Consideration</w:t>
      </w:r>
      <w:r>
        <w:rPr>
          <w:color w:val="000000"/>
        </w:rPr>
        <w:t>—</w:t>
      </w:r>
      <w:r>
        <w:rPr>
          <w:rFonts w:ascii="Times New Roman;sans-serif" w:hAnsi="Times New Roman;sans-serif"/>
          <w:b w:val="false"/>
          <w:color w:val="000000"/>
          <w:sz w:val="20"/>
        </w:rPr>
        <w:t>The fair value measurements of contingent consideration liabilities established in connection with business combinations were determined as of the acquisition date based on significant unobservable inputs, including forecasted revenues and costs of the acquired companies, the probability of meeting certain revenue or earnings targets defined in the merger agreements, and the discount rate. Contingent consideration liabilities were remeasured to fair value at each subsequent reporting date until the related contingency was resolved, with the remeasurement adjustment reported in the consolidated statement of operations. Changes to the fair value of the contingent consideration liabilities resulted from changes to one or a number of inputs, including discount rates, the probabilities of achieving the milestones, the time required to achieve the milestones and estimated future sales. Significant judgment was employed in determining the appropriateness of these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Goodwill</w:t>
      </w:r>
      <w:r>
        <w:rPr>
          <w:color w:val="000000"/>
        </w:rPr>
        <w:t>—</w:t>
      </w:r>
      <w:r>
        <w:rPr>
          <w:rFonts w:ascii="Times New Roman;sans-serif" w:hAnsi="Times New Roman;sans-serif"/>
          <w:b w:val="false"/>
          <w:color w:val="000000"/>
          <w:sz w:val="20"/>
        </w:rPr>
        <w:t>The Company evaluates goodwill for impairment annually during the fourth quarter, or more frequently when an event occurs or circumstances change that indicate the carrying value may not be recoverable. The Company may elect to utilize a qualitative assessment to evaluate whether it is more likely than not that the fair value of a reporting unit is less than its carrying value and if so, the quantitative test is performed. Under the qualitative assessment, factors that are considered include industry and market considerations, overall financial performance and other relevant events and factors affecting the reporting unit. Under the quantitative test, the Company first compares the carrying value of each reporting unit to its estimated fair value and, if the fair value is determined to be less than the carrying value, an impairment loss would be recognized for the difference.</w:t>
      </w:r>
    </w:p>
    <w:p>
      <w:pPr>
        <w:pStyle w:val="TextBody"/>
        <w:bidi w:val="0"/>
        <w:spacing w:lineRule="auto" w:line="288" w:before="0" w:after="180"/>
        <w:ind w:left="0" w:right="0" w:firstLine="360"/>
        <w:jc w:val="both"/>
        <w:rPr/>
      </w:pPr>
      <w:r>
        <w:rPr>
          <w:rFonts w:ascii="Times New Roman;sans-serif" w:hAnsi="Times New Roman;sans-serif"/>
          <w:b/>
          <w:color w:val="000000"/>
          <w:sz w:val="20"/>
        </w:rPr>
        <w:t>Intangible Assets</w:t>
      </w:r>
      <w:r>
        <w:rPr>
          <w:color w:val="000000"/>
        </w:rPr>
        <w:t>—</w:t>
      </w:r>
      <w:r>
        <w:rPr>
          <w:rFonts w:ascii="Times New Roman;sans-serif" w:hAnsi="Times New Roman;sans-serif"/>
          <w:b w:val="false"/>
          <w:color w:val="000000"/>
          <w:sz w:val="20"/>
        </w:rPr>
        <w:t xml:space="preserve">Intangible assets include acquired intangible assets identified through business combinations, which are carried at the estimated 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 of operations. Intangible assets are reviewed for impairment whenever events or changes in circumstances indicate that the carrying amount of the asset may not be recoverable. </w:t>
      </w:r>
    </w:p>
    <w:p>
      <w:pPr>
        <w:pStyle w:val="TextBody"/>
        <w:bidi w:val="0"/>
        <w:spacing w:lineRule="auto" w:line="288" w:before="0" w:after="180"/>
        <w:ind w:left="0" w:right="0" w:firstLine="360"/>
        <w:jc w:val="both"/>
        <w:rPr/>
      </w:pPr>
      <w:r>
        <w:rPr>
          <w:rFonts w:ascii="Times New Roman;sans-serif" w:hAnsi="Times New Roman;sans-serif"/>
          <w:b/>
          <w:color w:val="000000"/>
          <w:sz w:val="20"/>
        </w:rPr>
        <w:t>Impairment of Long-Lived Assets</w:t>
      </w:r>
      <w:r>
        <w:rPr>
          <w:color w:val="000000"/>
        </w:rPr>
        <w:t>—</w:t>
      </w:r>
      <w:r>
        <w:rPr>
          <w:rFonts w:ascii="Times New Roman;sans-serif" w:hAnsi="Times New Roman;sans-serif"/>
          <w:b w:val="false"/>
          <w:color w:val="000000"/>
          <w:sz w:val="20"/>
        </w:rPr>
        <w:t xml:space="preserve">The Company reviews long-lived assets, including property and equipment, capitalized software development costs, intangible assets and right-of-use (ROU)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 </w:t>
      </w:r>
    </w:p>
    <w:p>
      <w:pPr>
        <w:pStyle w:val="TextBody"/>
        <w:bidi w:val="0"/>
        <w:spacing w:lineRule="auto" w:line="288" w:before="0" w:after="180"/>
        <w:ind w:left="0" w:right="0" w:firstLine="360"/>
        <w:jc w:val="both"/>
        <w:rPr/>
      </w:pPr>
      <w:r>
        <w:rPr>
          <w:rFonts w:ascii="Times New Roman;sans-serif" w:hAnsi="Times New Roman;sans-serif"/>
          <w:b/>
          <w:color w:val="000000"/>
          <w:sz w:val="20"/>
          <w:shd w:fill="FFFFFF" w:val="clear"/>
        </w:rPr>
        <w:t>Revenue Recognition</w:t>
      </w:r>
      <w:r>
        <w:rPr>
          <w:color w:val="000000"/>
          <w:shd w:fill="FFFFFF" w:val="clear"/>
        </w:rPr>
        <w:t>—</w:t>
      </w:r>
      <w:r>
        <w:rPr>
          <w:rFonts w:ascii="Times New Roman;sans-serif" w:hAnsi="Times New Roman;sans-serif"/>
          <w:b w:val="false"/>
          <w:color w:val="000000"/>
          <w:sz w:val="20"/>
          <w:shd w:fill="FFFFFF" w:val="clear"/>
        </w:rPr>
        <w:t>The Company generates substantially all its revenue through fees paid by its financial services partners in the form of either revenue per action, revenue per click, revenue per lead and revenue per funded loan arrangements. For these revenue arrangements, in which a partner pays only when a consumer satisfies the criteria set forth within the arrangement, revenue is recognized generally when the Company matches the consumer with the financial services partner. For some of the Company’s arrangements, the transaction price is considered variable and an estimate of the transaction price is recorded when the match occurs.</w:t>
      </w:r>
    </w:p>
    <w:p>
      <w:pPr>
        <w:pStyle w:val="TextBody"/>
        <w:bidi w:val="0"/>
        <w:spacing w:lineRule="auto" w:line="288" w:before="0" w:after="18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revenue recognition guidance, revenue is recognized when performance obligations under the terms of a contract with a financial services partner are satisfied and promised goods and services have transferred to the partner, in an amount that reflects the consideration the Company expects to be entitled to in exchange for those goods or services. Services are generally transferred to the financial services partner at a point in time, and the performance obligation is a series of distinct actions, leads or clicks.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For revenue generated from revenue per action or revenue per funded loan arrangements in which fees are earned from financial services partners for approved actions, such as when credit cards are issued to consumers or when loans to consumers are funded, the Company’s contractual right to fees is not contemporaneous with the satisfaction of the performance obligation to match the consumer with the financial services partner.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w:t>
      </w:r>
      <w:r>
        <w:rPr>
          <w:rFonts w:ascii="Times New Roman;sans-serif" w:hAnsi="Times New Roman;sans-serif"/>
          <w:b w:val="false"/>
          <w:color w:val="000000"/>
          <w:sz w:val="20"/>
          <w:shd w:fill="FFFFFF" w:val="clear"/>
        </w:rPr>
        <w:t>The Company records a contract asset, which is included within p</w:t>
      </w:r>
      <w:r>
        <w:rPr>
          <w:rFonts w:ascii="Times New Roman;sans-serif" w:hAnsi="Times New Roman;sans-serif"/>
          <w:b w:val="false"/>
          <w:color w:val="000000"/>
          <w:sz w:val="20"/>
        </w:rPr>
        <w:t>repaid expenses and other current assets</w:t>
      </w:r>
      <w:r>
        <w:rPr>
          <w:color w:val="000000"/>
          <w:shd w:fill="FFFFFF" w:val="clear"/>
        </w:rPr>
        <w:t xml:space="preserve"> </w:t>
      </w:r>
      <w:r>
        <w:rPr>
          <w:rFonts w:ascii="Times New Roman;sans-serif" w:hAnsi="Times New Roman;sans-serif"/>
          <w:b w:val="false"/>
          <w:color w:val="000000"/>
          <w:sz w:val="20"/>
          <w:shd w:fill="FFFFFF" w:val="clear"/>
        </w:rPr>
        <w:t>in the consolidated balance sheet, at the end of each reporting period related to the estimated variable consideration on fees for which the Company has satisfied the related performance obligation but are still pending the financial product approval before the Company has a contractual right to payment. Various factors are analyzed to estimate the constrained revenue, including the Company’s historical approval rates and historical time between when a consumer request for a financial product is delivered to a financial services partner and when the consumer meets the achievement or attainment requirements of the financial services partner. The time between satisfaction of the Company</w:t>
      </w:r>
      <w:r>
        <w:rPr>
          <w:color w:val="000000"/>
        </w:rPr>
        <w:t>’</w:t>
      </w:r>
      <w:r>
        <w:rPr>
          <w:rFonts w:ascii="Times New Roman;sans-serif" w:hAnsi="Times New Roman;sans-serif"/>
          <w:b w:val="false"/>
          <w:color w:val="000000"/>
          <w:sz w:val="20"/>
          <w:shd w:fill="FFFFFF" w:val="clear"/>
        </w:rPr>
        <w:t xml:space="preserve">s performance obligation and when the Company’s right to consideration becomes unconditional is generally less than 90 days and no significant judgment is required in determining whether the estimate of variable consideration should be constrained. The Company records a deferred revenue liability, which is included </w:t>
      </w:r>
      <w:r>
        <w:rPr>
          <w:rFonts w:ascii="Times New Roman;sans-serif" w:hAnsi="Times New Roman;sans-serif"/>
          <w:b w:val="false"/>
          <w:color w:val="000000"/>
          <w:sz w:val="20"/>
        </w:rPr>
        <w:t>within accrued expenses and other current liabilities in the consolidated balance sheet,</w:t>
      </w:r>
      <w:r>
        <w:rPr>
          <w:color w:val="000000"/>
          <w:shd w:fill="FFFFFF" w:val="clear"/>
        </w:rPr>
        <w:t xml:space="preserve"> </w:t>
      </w:r>
      <w:r>
        <w:rPr>
          <w:rFonts w:ascii="Times New Roman;sans-serif" w:hAnsi="Times New Roman;sans-serif"/>
          <w:b w:val="false"/>
          <w:color w:val="000000"/>
          <w:sz w:val="20"/>
          <w:shd w:fill="FFFFFF" w:val="clear"/>
        </w:rPr>
        <w:t xml:space="preserve">for fees received related to unsatisfied performance obligations at the end of each reporting period, with the performance obligations expected to be satisfied in the following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val="false"/>
          <w:color w:val="000000"/>
          <w:sz w:val="20"/>
          <w:shd w:fill="FFFFFF" w:val="clear"/>
        </w:rPr>
        <w:t xml:space="preserve">For revenue generated from revenue per lead or revenue per click </w:t>
      </w:r>
      <w:r>
        <w:rPr>
          <w:rFonts w:ascii="Times New Roman;sans-serif" w:hAnsi="Times New Roman;sans-serif"/>
          <w:b w:val="false"/>
          <w:color w:val="000000"/>
          <w:sz w:val="20"/>
        </w:rPr>
        <w:t xml:space="preserve">in which fees are earned from customers </w:t>
      </w:r>
      <w:r>
        <w:rPr>
          <w:rFonts w:ascii="Times New Roman;sans-serif" w:hAnsi="Times New Roman;sans-serif"/>
          <w:b w:val="false"/>
          <w:color w:val="000000"/>
          <w:sz w:val="20"/>
          <w:shd w:fill="FFFFFF" w:val="clear"/>
        </w:rPr>
        <w:t>when a consumer clicks on a tagged link to the customer’s website or lead is delivered to the customer, the Company</w:t>
      </w:r>
      <w:r>
        <w:rPr>
          <w:color w:val="000000"/>
        </w:rPr>
        <w:t>’</w:t>
      </w:r>
      <w:r>
        <w:rPr>
          <w:rFonts w:ascii="Times New Roman;sans-serif" w:hAnsi="Times New Roman;sans-serif"/>
          <w:b w:val="false"/>
          <w:color w:val="000000"/>
          <w:sz w:val="20"/>
          <w:shd w:fill="FFFFFF" w:val="clear"/>
        </w:rPr>
        <w:t xml:space="preserve">s contractual right to fees is contemporaneous with the satisfaction of the performance obligation </w:t>
      </w:r>
      <w:r>
        <w:rPr>
          <w:rFonts w:ascii="Times New Roman;sans-serif" w:hAnsi="Times New Roman;sans-serif"/>
          <w:b w:val="false"/>
          <w:color w:val="000000"/>
          <w:sz w:val="20"/>
        </w:rPr>
        <w:t>to match the consumer with the customer</w:t>
      </w:r>
      <w:r>
        <w:rPr>
          <w:rFonts w:ascii="Times New Roman;sans-serif" w:hAnsi="Times New Roman;sans-serif"/>
          <w:b w:val="false"/>
          <w:color w:val="000000"/>
          <w:sz w:val="20"/>
          <w:shd w:fill="FFFFFF" w:val="clear"/>
        </w:rPr>
        <w:t>. The Company’s services are generally transferred to the customer at a point in time, when the performance obligation is met, based on reliable indicators of completion.</w:t>
      </w:r>
    </w:p>
    <w:p>
      <w:pPr>
        <w:pStyle w:val="TextBody"/>
        <w:bidi w:val="0"/>
        <w:spacing w:lineRule="auto" w:line="288" w:before="0" w:after="18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payment terms vary by customer and verticals. The term between invoicing and when payment is due is generally 30 days or less.</w:t>
      </w:r>
    </w:p>
    <w:p>
      <w:pPr>
        <w:pStyle w:val="TextBody"/>
        <w:bidi w:val="0"/>
        <w:spacing w:lineRule="auto" w:line="288" w:before="0" w:after="180"/>
        <w:ind w:left="0" w:right="0" w:firstLine="360"/>
        <w:jc w:val="both"/>
        <w:rPr/>
      </w:pPr>
      <w:r>
        <w:rPr>
          <w:rFonts w:ascii="Times New Roman;sans-serif" w:hAnsi="Times New Roman;sans-serif"/>
          <w:b/>
          <w:color w:val="000000"/>
          <w:sz w:val="20"/>
        </w:rPr>
        <w:t>Cost of Revenue</w:t>
      </w:r>
      <w:r>
        <w:rPr>
          <w:color w:val="000000"/>
        </w:rPr>
        <w:t>—</w:t>
      </w:r>
      <w:r>
        <w:rPr>
          <w:rFonts w:ascii="Times New Roman;sans-serif" w:hAnsi="Times New Roman;sans-serif"/>
          <w:b w:val="false"/>
          <w:color w:val="000000"/>
          <w:sz w:val="20"/>
        </w:rPr>
        <w:t xml:space="preserve">Cost of revenue consists primarily of amortization expense associated with capitalized software development costs and developed technology; credit scoring fees and account linking fees; and third-party data center costs. </w:t>
      </w:r>
    </w:p>
    <w:p>
      <w:pPr>
        <w:pStyle w:val="TextBody"/>
        <w:bidi w:val="0"/>
        <w:spacing w:lineRule="auto" w:line="288" w:before="0" w:after="180"/>
        <w:ind w:left="0" w:right="0" w:firstLine="360"/>
        <w:jc w:val="both"/>
        <w:rPr/>
      </w:pPr>
      <w:r>
        <w:rPr>
          <w:rFonts w:ascii="Times New Roman;sans-serif" w:hAnsi="Times New Roman;sans-serif"/>
          <w:b/>
          <w:color w:val="000000"/>
          <w:sz w:val="20"/>
        </w:rPr>
        <w:t>Research and Development</w:t>
      </w:r>
      <w:r>
        <w:rPr>
          <w:color w:val="000000"/>
        </w:rPr>
        <w:t>—</w:t>
      </w:r>
      <w:r>
        <w:rPr>
          <w:rFonts w:ascii="Times New Roman;sans-serif" w:hAnsi="Times New Roman;sans-serif"/>
          <w:b w:val="false"/>
          <w:color w:val="000000"/>
          <w:sz w:val="20"/>
        </w:rPr>
        <w:t>Research and development expenses primarily consist of personnel related costs, technology and facility-related expenses and contractor expense for our engineering, product management, data and other personnel engaged in maintaining and enhancing the functionality of our platform. Research and development costs are expensed as incurred.</w:t>
      </w:r>
    </w:p>
    <w:p>
      <w:pPr>
        <w:pStyle w:val="TextBody"/>
        <w:bidi w:val="0"/>
        <w:spacing w:lineRule="auto" w:line="288" w:before="0" w:after="180"/>
        <w:ind w:left="0" w:right="0" w:firstLine="360"/>
        <w:jc w:val="both"/>
        <w:rPr/>
      </w:pPr>
      <w:r>
        <w:rPr>
          <w:rFonts w:ascii="Times New Roman;sans-serif" w:hAnsi="Times New Roman;sans-serif"/>
          <w:b/>
          <w:color w:val="000000"/>
          <w:sz w:val="20"/>
        </w:rPr>
        <w:t>Sales and Marketing</w:t>
      </w:r>
      <w:r>
        <w:rPr>
          <w:color w:val="000000"/>
        </w:rPr>
        <w:t>—</w:t>
      </w:r>
      <w:r>
        <w:rPr>
          <w:rFonts w:ascii="Times New Roman;sans-serif" w:hAnsi="Times New Roman;sans-serif"/>
          <w:b w:val="false"/>
          <w:color w:val="000000"/>
          <w:sz w:val="20"/>
        </w:rPr>
        <w:t xml:space="preserve">Sales and marketing expenses include advertising and promotion costs, costs related to brand campaign fees, marketing, business operations team and editorial personnel and related costs, including stock-based compensation.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sales and marketing expenses are as follows:</w:t>
      </w:r>
    </w:p>
    <w:tbl>
      <w:tblPr>
        <w:tblW w:w="6279" w:type="dxa"/>
        <w:jc w:val="left"/>
        <w:tblInd w:w="0" w:type="dxa"/>
        <w:tblLayout w:type="fixed"/>
        <w:tblCellMar>
          <w:top w:w="28" w:type="dxa"/>
          <w:left w:w="28" w:type="dxa"/>
          <w:bottom w:w="28" w:type="dxa"/>
          <w:right w:w="28" w:type="dxa"/>
        </w:tblCellMar>
      </w:tblPr>
      <w:tblGrid>
        <w:gridCol w:w="883"/>
        <w:gridCol w:w="775"/>
        <w:gridCol w:w="787"/>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Organic and other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includes performance and brand marketing, as well as certain external organic and other marketing costs, and is expensed as incurred. Advertising expense totaled $370.3 million, $294.7 million, and $278.9 million for 2024, 2023 and 2022, respectively.</w:t>
      </w:r>
    </w:p>
    <w:p>
      <w:pPr>
        <w:pStyle w:val="TextBody"/>
        <w:bidi w:val="0"/>
        <w:spacing w:lineRule="auto" w:line="288" w:before="0" w:after="180"/>
        <w:ind w:left="0" w:right="0" w:firstLine="360"/>
        <w:jc w:val="both"/>
        <w:rPr/>
      </w:pPr>
      <w:r>
        <w:rPr>
          <w:rFonts w:ascii="Times New Roman;sans-serif" w:hAnsi="Times New Roman;sans-serif"/>
          <w:b/>
          <w:color w:val="000000"/>
          <w:sz w:val="20"/>
        </w:rPr>
        <w:t>Leases</w:t>
      </w:r>
      <w:r>
        <w:rPr>
          <w:color w:val="000000"/>
        </w:rPr>
        <w:t>—</w:t>
      </w:r>
      <w:r>
        <w:rPr>
          <w:rFonts w:ascii="Times New Roman;sans-serif" w:hAnsi="Times New Roman;sans-serif"/>
          <w:b w:val="false"/>
          <w:color w:val="000000"/>
          <w:sz w:val="20"/>
        </w:rPr>
        <w:t xml:space="preserve">The Company leases real estate facilities and general office equipment under operating leases expiring at various dates through 2029.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Nonlease components that are not fixed are expensed as incurred as variable lease payments. The Company’s lease agreements generally do not contain any residual guarantees or restrictive covenants.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other assets, accrued expenses and other current liabilities, and other liabilities-noncurrent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Stock-Based Compensation</w:t>
      </w:r>
      <w:r>
        <w:rPr>
          <w:color w:val="000000"/>
        </w:rPr>
        <w:t>—</w:t>
      </w:r>
      <w:r>
        <w:rPr>
          <w:rFonts w:ascii="Times New Roman;sans-serif" w:hAnsi="Times New Roman;sans-serif"/>
          <w:b w:val="false"/>
          <w:color w:val="000000"/>
          <w:sz w:val="20"/>
        </w:rPr>
        <w:t xml:space="preserve">The Company has granted stock-based awards, including restricted stock units (RSUs), stock options and purchase rights granted under our employee stock purchase plan (ESPP), to employees, directors and non-employees. The Company measures compensation expense for stock-based awards based on the estimated fair value of the awards on the date of grant. </w:t>
      </w:r>
    </w:p>
    <w:p>
      <w:pPr>
        <w:pStyle w:val="TextBody"/>
        <w:bidi w:val="0"/>
        <w:spacing w:lineRule="auto" w:line="288" w:before="0" w:after="180"/>
        <w:ind w:left="0" w:right="0" w:firstLine="360"/>
        <w:jc w:val="both"/>
        <w:rPr/>
      </w:pPr>
      <w:r>
        <w:rPr>
          <w:rFonts w:ascii="Times New Roman;sans-serif" w:hAnsi="Times New Roman;sans-serif"/>
          <w:b/>
          <w:i/>
          <w:color w:val="000000"/>
          <w:sz w:val="20"/>
        </w:rPr>
        <w:t>RSUs</w:t>
      </w:r>
      <w:r>
        <w:rPr>
          <w:rFonts w:ascii="Times New Roman;sans-serif" w:hAnsi="Times New Roman;sans-serif"/>
          <w:b w:val="false"/>
          <w:color w:val="000000"/>
          <w:sz w:val="20"/>
        </w:rPr>
        <w:t xml:space="preserve">: The fair value of RSUs is estimated based on the fair value of our Class A common stock on the grant date. </w:t>
      </w:r>
    </w:p>
    <w:p>
      <w:pPr>
        <w:pStyle w:val="TextBody"/>
        <w:bidi w:val="0"/>
        <w:spacing w:lineRule="auto" w:line="288" w:before="0" w:after="180"/>
        <w:ind w:left="0" w:right="0" w:firstLine="360"/>
        <w:jc w:val="both"/>
        <w:rPr/>
      </w:pPr>
      <w:r>
        <w:rPr>
          <w:rFonts w:ascii="Times New Roman;sans-serif" w:hAnsi="Times New Roman;sans-serif"/>
          <w:b/>
          <w:i/>
          <w:color w:val="000000"/>
          <w:sz w:val="20"/>
        </w:rPr>
        <w:t>Stock Options</w:t>
      </w:r>
      <w:r>
        <w:rPr>
          <w:rFonts w:ascii="Times New Roman;sans-serif" w:hAnsi="Times New Roman;sans-serif"/>
          <w:b w:val="false"/>
          <w:color w:val="000000"/>
          <w:sz w:val="20"/>
        </w:rPr>
        <w:t>:The fair value of stock options is estimated using the Black-Scholes-Merton option-pricing model. The Black-Scholes-Merton option-pricing model considers several variables and assumptions in estimating the grant date fair value of stock-based awards. These assumptions include:</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Fair Value of Class A Common Stock</w:t>
      </w:r>
      <w:r>
        <w:rPr>
          <w:color w:val="000000"/>
        </w:rPr>
        <w:t>—</w:t>
      </w:r>
      <w:r>
        <w:rPr>
          <w:rFonts w:ascii="Times New Roman;sans-serif" w:hAnsi="Times New Roman;sans-serif"/>
          <w:b w:val="false"/>
          <w:color w:val="000000"/>
          <w:sz w:val="20"/>
        </w:rPr>
        <w:t>The fair value of the Company’s Class A common stock is determined on the grant date using the closing price of the Company’s Class A common stock.</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Expected Term</w:t>
      </w:r>
      <w:r>
        <w:rPr>
          <w:color w:val="000000"/>
        </w:rPr>
        <w:t>—</w:t>
      </w:r>
      <w:r>
        <w:rPr>
          <w:rFonts w:ascii="Times New Roman;sans-serif" w:hAnsi="Times New Roman;sans-serif"/>
          <w:b w:val="false"/>
          <w:color w:val="000000"/>
          <w:sz w:val="20"/>
        </w:rPr>
        <w:t>The expected term represents the period that the stock-based awards are expected to be outstanding, and is estimated as the expected term based on the simplified method.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Expected Volatility</w:t>
      </w:r>
      <w:r>
        <w:rPr>
          <w:color w:val="000000"/>
        </w:rPr>
        <w:t>—</w:t>
      </w:r>
      <w:r>
        <w:rPr>
          <w:rFonts w:ascii="Times New Roman;sans-serif" w:hAnsi="Times New Roman;sans-serif"/>
          <w:b w:val="false"/>
          <w:color w:val="000000"/>
          <w:sz w:val="20"/>
        </w:rPr>
        <w:t>Expected volatility is a measure of the amount by which the stock price is expected to fluctuate. Since the Company does not have sufficient trading history of its Class A common stock, the Company estimates the expected volatility by taking the average historical volatility of a group of comparable publicly-traded companies over a period equal to the expected term of the awards.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The risk-free interest rate is based on the U.S. Treasury yield in effect at the time of grant for zero-coupon U.S. Treasury notes with maturities approximately equal to the expected term of the stock option award.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i/>
          <w:color w:val="000000"/>
          <w:sz w:val="20"/>
        </w:rPr>
        <w:t>Expected Dividend</w:t>
      </w:r>
      <w:r>
        <w:rPr>
          <w:color w:val="000000"/>
        </w:rPr>
        <w:t>—</w:t>
      </w:r>
      <w:r>
        <w:rPr>
          <w:rFonts w:ascii="Times New Roman;sans-serif" w:hAnsi="Times New Roman;sans-serif"/>
          <w:b w:val="false"/>
          <w:color w:val="000000"/>
          <w:sz w:val="20"/>
        </w:rPr>
        <w:t>The Company utilizes a dividend yield of zero, as the Company does not currently issue dividends and does not expect to do so in the future.</w:t>
      </w:r>
    </w:p>
    <w:p>
      <w:pPr>
        <w:pStyle w:val="TextBody"/>
        <w:bidi w:val="0"/>
        <w:spacing w:lineRule="auto" w:line="288" w:before="0" w:after="180"/>
        <w:ind w:left="0" w:right="0" w:firstLine="360"/>
        <w:jc w:val="both"/>
        <w:rPr/>
      </w:pPr>
      <w:r>
        <w:rPr>
          <w:rFonts w:ascii="Times New Roman;sans-serif" w:hAnsi="Times New Roman;sans-serif"/>
          <w:b/>
          <w:i/>
          <w:color w:val="000000"/>
          <w:sz w:val="20"/>
        </w:rPr>
        <w:t>ESPP:</w:t>
      </w:r>
      <w:r>
        <w:rPr>
          <w:color w:val="000000"/>
        </w:rPr>
        <w:t xml:space="preserve"> </w:t>
      </w:r>
      <w:r>
        <w:rPr>
          <w:rFonts w:ascii="Times New Roman;sans-serif" w:hAnsi="Times New Roman;sans-serif"/>
          <w:b w:val="false"/>
          <w:color w:val="000000"/>
          <w:sz w:val="20"/>
        </w:rPr>
        <w:t xml:space="preserve">The fair value of purchase rights granted under the Company’s ESPP is estimated using the component measurement approach with valuations of the components based on the Company’s stock price on the grant date and/or the Black-Scholes-Merton option-pricing model, as appropriate for the applicable components.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stock-based awards with only a service condition and that are expected to vest is recognized as compensation expense on a straight-line basis over the requisite service period. The fair value of stock-based awards with performance-conditions is recognized as compensation expense over the requisite service period using the accelerated attribution method based on an assessment of the probability of achieving the requisite performance metrics. The requisite service period of awards is generally the same as the vesting period of the respective awards. The Company recognizes forfeitures as they occur for equity awards with a service condition. </w:t>
      </w:r>
    </w:p>
    <w:p>
      <w:pPr>
        <w:pStyle w:val="TextBody"/>
        <w:bidi w:val="0"/>
        <w:spacing w:lineRule="auto" w:line="288" w:before="0" w:after="180"/>
        <w:ind w:left="0" w:right="0" w:firstLine="360"/>
        <w:jc w:val="both"/>
        <w:rPr/>
      </w:pPr>
      <w:r>
        <w:rPr>
          <w:rFonts w:ascii="Times New Roman;sans-serif" w:hAnsi="Times New Roman;sans-serif"/>
          <w:b/>
          <w:color w:val="000000"/>
          <w:sz w:val="20"/>
        </w:rPr>
        <w:t>Income Taxes</w:t>
      </w:r>
      <w:r>
        <w:rPr>
          <w:color w:val="000000"/>
        </w:rPr>
        <w:t>—</w:t>
      </w:r>
      <w:r>
        <w:rPr>
          <w:rFonts w:ascii="Times New Roman;sans-serif" w:hAnsi="Times New Roman;sans-serif"/>
          <w:b w:val="false"/>
          <w:color w:val="000000"/>
          <w:sz w:val="20"/>
        </w:rPr>
        <w:t xml:space="preserve">The Company accounts for income taxes under an asset and liability approach. Deferred income taxes reflect the impact of temporary 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Net Income (Loss) per Basic and Diluted Share</w:t>
      </w:r>
      <w:r>
        <w:rPr>
          <w:color w:val="000000"/>
        </w:rPr>
        <w:t>—</w:t>
      </w:r>
      <w:r>
        <w:rPr>
          <w:rFonts w:ascii="Times New Roman;sans-serif" w:hAnsi="Times New Roman;sans-serif"/>
          <w:b w:val="false"/>
          <w:color w:val="000000"/>
          <w:sz w:val="20"/>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The Company considers early exercised share options to be participating securities. The impact of early exercised share options on basic and diluted EPS was immaterial for 2024, 2023 and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computed by dividing net income (loss) available to common stockholders by the weighted average number of common stock outstanding during the period. Diluted EPS is computed by dividing net income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EPS by application of the treasury stock method.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including the liquidation and dividend rights, of the holders of Class A and Class B common stock are identical, except with respect to voting and conversion. See Note 10–Stockholders’ Equity for further discussion. As the liquidation and dividend rights are identical for Class A and Class B common stock, the undistributed earnings are allocated on a proportional basis and the resulting net income (loss) attributable to common stockholders is the same for Class A and Class B common stock on an individual or combined basis.</w:t>
      </w:r>
    </w:p>
    <w:p>
      <w:pPr>
        <w:pStyle w:val="TextBody"/>
        <w:bidi w:val="0"/>
        <w:spacing w:lineRule="auto" w:line="288" w:before="0" w:after="180"/>
        <w:ind w:left="0" w:right="0" w:firstLine="360"/>
        <w:jc w:val="both"/>
        <w:rPr/>
      </w:pPr>
      <w:r>
        <w:rPr>
          <w:rFonts w:ascii="Times New Roman;sans-serif" w:hAnsi="Times New Roman;sans-serif"/>
          <w:b/>
          <w:color w:val="000000"/>
          <w:sz w:val="20"/>
        </w:rPr>
        <w:t>Comprehensive Income (Loss)</w:t>
      </w:r>
      <w:r>
        <w:rPr>
          <w:color w:val="000000"/>
        </w:rPr>
        <w:t>—</w:t>
      </w:r>
      <w:r>
        <w:rPr>
          <w:rFonts w:ascii="Times New Roman;sans-serif" w:hAnsi="Times New Roman;sans-serif"/>
          <w:b w:val="false"/>
          <w:color w:val="000000"/>
          <w:sz w:val="20"/>
        </w:rPr>
        <w:t xml:space="preserve">Comprehensive income (loss) is defined as a change in equity resulting from transactions from non-owner sources. Comprehensive income (loss) is comprised of all components of net income (loss) and all components of other comprehensive income (loss) within stockholders’ equity. Other comprehensive income (loss) includes adjustments for foreign currency translation. </w:t>
      </w:r>
    </w:p>
    <w:p>
      <w:pPr>
        <w:pStyle w:val="TextBody"/>
        <w:bidi w:val="0"/>
        <w:spacing w:lineRule="auto" w:line="288" w:before="0" w:after="180"/>
        <w:ind w:left="0" w:right="0" w:firstLine="360"/>
        <w:jc w:val="both"/>
        <w:rPr/>
      </w:pPr>
      <w:r>
        <w:rPr>
          <w:rFonts w:ascii="Times New Roman;sans-serif" w:hAnsi="Times New Roman;sans-serif"/>
          <w:b/>
          <w:color w:val="000000"/>
          <w:sz w:val="20"/>
        </w:rPr>
        <w:t>JOBS Act Accounting Election</w:t>
      </w:r>
      <w:r>
        <w:rPr>
          <w:color w:val="000000"/>
        </w:rPr>
        <w:t>—</w:t>
      </w:r>
      <w:r>
        <w:rPr>
          <w:rFonts w:ascii="Times New Roman;sans-serif" w:hAnsi="Times New Roman;sans-serif"/>
          <w:b w:val="false"/>
          <w:color w:val="000000"/>
          <w:sz w:val="20"/>
        </w:rPr>
        <w:t>The Company qualifies as an “emerging growth company” (EGC) as defined in the JOBS Act, and, as such, the Company may elect to delay adopting new or revised accounting standards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As a result, the Company’s financial condition and results of operations within its consolidated financial statements may not be comparable to those of other companies that have adopted new or revised accounting standards at an earlier date.</w:t>
      </w:r>
    </w:p>
    <w:p>
      <w:pPr>
        <w:pStyle w:val="TextBody"/>
        <w:bidi w:val="0"/>
        <w:spacing w:lineRule="auto" w:line="288" w:before="0" w:after="180"/>
        <w:ind w:left="0" w:right="0" w:firstLine="360"/>
        <w:jc w:val="both"/>
        <w:rPr/>
      </w:pPr>
      <w:r>
        <w:rPr>
          <w:rFonts w:ascii="Times New Roman;sans-serif" w:hAnsi="Times New Roman;sans-serif"/>
          <w:b/>
          <w:color w:val="000000"/>
          <w:sz w:val="20"/>
        </w:rPr>
        <w:t>Recently Adopted Accounting Pronouncement</w:t>
      </w:r>
      <w:r>
        <w:rPr>
          <w:color w:val="000000"/>
        </w:rPr>
        <w:t>—</w:t>
      </w: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(ASU 2023-07), which is intended to improve reportable segment disclosure requirements, primarily through enhanced disclosures about significant segment expenses. The Company adopted the provisions of ASU 2023-07 for the year ending December 31, 2024, and applied the guidance retrospectively to all prior periods presented in the financial statements. Given the disclosure focus of ASU 2023-07, the adoption of this new standard did not have an effect on the Company’s financial position and results of operations in its consolidated financial statements.</w:t>
      </w:r>
    </w:p>
    <w:p>
      <w:pPr>
        <w:pStyle w:val="TextBody"/>
        <w:bidi w:val="0"/>
        <w:spacing w:lineRule="auto" w:line="288" w:before="0" w:after="180"/>
        <w:ind w:left="0" w:right="0" w:firstLine="360"/>
        <w:jc w:val="both"/>
        <w:rPr/>
      </w:pPr>
      <w:r>
        <w:rPr>
          <w:rFonts w:ascii="Times New Roman;sans-serif" w:hAnsi="Times New Roman;sans-serif"/>
          <w:b/>
          <w:color w:val="000000"/>
          <w:sz w:val="20"/>
        </w:rPr>
        <w:t>Recently Issued Accounting Pronouncements Not Yet Adopted</w:t>
      </w:r>
      <w:r>
        <w:rPr>
          <w:color w:val="000000"/>
        </w:rPr>
        <w:t>—</w:t>
      </w: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2023-09), which addresses investor requests for more transparency about income tax information through improvements to income tax disclosures primarily related to the income tax rate reconciliation and income taxes paid information. The guidance in ASU 2023-09 is effective on an annual basis and will be required to be applied for the year ending December 31, 2025 for public business entities, or the year ending December 31, 2026 for EGCs under the JOBS Act accounting election. Early adoption is permitted for annual financial statements that have not yet been issued or made available for issuance. The guidance should be applied on a prospective basis, but retrospective application is permitted.</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(ASU 2024-09), which requires additional disclosure of certain costs and expenses within the notes to the financial statements. The guidance in ASU 2024-03 is effective for annual reporting periods beginning with the year ending December 31, 2027, and for interim reporting periods beginning in 2028. Early adoption is permitted and the guidance may be applied on a prospective or retrospective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disclosure focus of both ASU 2023-09 and ASU 2024-03, the applications of these new standards will not have an effect on the Company’s financial position and results of operations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a disaggregation of the Company’s revenue based on product category:</w:t>
      </w:r>
    </w:p>
    <w:tbl>
      <w:tblPr>
        <w:tblW w:w="5844" w:type="dxa"/>
        <w:jc w:val="left"/>
        <w:tblInd w:w="0" w:type="dxa"/>
        <w:tblLayout w:type="fixed"/>
        <w:tblCellMar>
          <w:top w:w="28" w:type="dxa"/>
          <w:left w:w="28" w:type="dxa"/>
          <w:bottom w:w="28" w:type="dxa"/>
          <w:right w:w="28" w:type="dxa"/>
        </w:tblCellMar>
      </w:tblPr>
      <w:tblGrid>
        <w:gridCol w:w="726"/>
        <w:gridCol w:w="637"/>
        <w:gridCol w:w="647"/>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SMB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verticals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recognized $4.1 million of revenue that was deferred as of December 31, 2023, all of which was recognized during the three months ended March 31, 2024. The deferred revenue balance as of December 31, 2024 was $0.2 million, which decreased compared to December 31, 2023 due to timing differences in customer payments. Revenue recognized during 2023 and 2022 which was deferred as of the prior year end was immaterial.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asset recorded within prepaid expenses and other current assets on the consolidated balance sheet related to estimated variable consideration was $6.8 million and $5.5 million as of December 31, 2024 and 2023,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revenue is primarily generated through revenue per click arrangements. Credit cards revenue is primarily generated through revenue per action arrangements. SMB products revenue is primarily generated through revenue per funded loan, revenue per action and revenue per lead arrangements. Loans revenue is primarily generated through revenue per funded loan and revenue per lead arrangements. Emerging verticals revenue is primarily generated through revenue per click, revenue per action and revenue per lead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3.Fair Value Measurements</w:t>
      </w:r>
    </w:p>
    <w:p>
      <w:pPr>
        <w:pStyle w:val="TextBody"/>
        <w:bidi w:val="0"/>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that are measured at fair value on a recurring basis, by level, within the fair value hierarchy are summarized as follows:</w:t>
      </w:r>
    </w:p>
    <w:tbl>
      <w:tblPr>
        <w:tblW w:w="9461" w:type="dxa"/>
        <w:jc w:val="left"/>
        <w:tblInd w:w="0" w:type="dxa"/>
        <w:tblLayout w:type="fixed"/>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36.8</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1" w:type="dxa"/>
        <w:jc w:val="left"/>
        <w:tblInd w:w="0" w:type="dxa"/>
        <w:tblLayout w:type="fixed"/>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89.8</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91.9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previously consisted entirely of contingent consideration, and the changes in fair values were as follows:</w:t>
      </w:r>
    </w:p>
    <w:tbl>
      <w:tblPr>
        <w:tblW w:w="3888" w:type="dxa"/>
        <w:jc w:val="left"/>
        <w:tblInd w:w="0" w:type="dxa"/>
        <w:tblLayout w:type="fixed"/>
        <w:tblCellMar>
          <w:top w:w="28" w:type="dxa"/>
          <w:left w:w="28" w:type="dxa"/>
          <w:bottom w:w="28" w:type="dxa"/>
          <w:right w:w="28" w:type="dxa"/>
        </w:tblCellMar>
      </w:tblPr>
      <w:tblGrid>
        <w:gridCol w:w="970"/>
        <w:gridCol w:w="851"/>
        <w:gridCol w:w="864"/>
        <w:gridCol w:w="109"/>
        <w:gridCol w:w="109"/>
        <w:gridCol w:w="109"/>
        <w:gridCol w:w="211"/>
        <w:gridCol w:w="51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liabilities related to acquisitions were previously measured at fair value each reporting period using Level 3 unobservable inputs. As of December 31, 2022, Fundera, Inc.’s revenue and profitability milestones for 2022 were achieved and the contingent consideration liability was recorded at the full payout amount, with the contingent consideration liability paid in full during 2023.</w:t>
      </w:r>
    </w:p>
    <w:p>
      <w:pPr>
        <w:pStyle w:val="TextBody"/>
        <w:bidi w:val="0"/>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made a strategic investment of $8.1 million in equity securities of a privately-held company over which the Company does not exercise significant influence. These equity securities do not have a readily determinable fair value and are accounted for under the measurement alternative. Under the measurement alternative, the carrying value of the security is measured at cost less any impairment. An equity security without a readily determinable fair value is considered impaired when the fair value of the Company’s interest is less than the carrying value. During the three months ended December 31, 2024, the Company became aware of certain developments and circumstances that indicated that there was a decline in the fair value of this investment. As a result, the Company performed an assessment of the equity investment, including a review of the financial condition, operating results and liquidity prospects of the equity issuer. Based on this assessment, the Company concluded that the equity investment was fully impaired as of December 31, 2024, and recorded an impairment loss of $8.1 million during 2024 which is included in other losses, net on both the Company’s consolidated statements of operations and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4.Significant Consolidated Balance Sheet Components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6291" w:type="dxa"/>
        <w:jc w:val="left"/>
        <w:tblInd w:w="0" w:type="dxa"/>
        <w:tblLayout w:type="fixed"/>
        <w:tblCellMar>
          <w:top w:w="28" w:type="dxa"/>
          <w:left w:w="28" w:type="dxa"/>
          <w:bottom w:w="28" w:type="dxa"/>
          <w:right w:w="28" w:type="dxa"/>
        </w:tblCellMar>
      </w:tblPr>
      <w:tblGrid>
        <w:gridCol w:w="1420"/>
        <w:gridCol w:w="1245"/>
        <w:gridCol w:w="1265"/>
        <w:gridCol w:w="109"/>
        <w:gridCol w:w="109"/>
        <w:gridCol w:w="109"/>
        <w:gridCol w:w="211"/>
        <w:gridCol w:w="511"/>
        <w:gridCol w:w="109"/>
        <w:gridCol w:w="109"/>
        <w:gridCol w:w="109"/>
        <w:gridCol w:w="109"/>
        <w:gridCol w:w="211"/>
        <w:gridCol w:w="51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w:t>
      </w:r>
    </w:p>
    <w:tbl>
      <w:tblPr>
        <w:tblW w:w="6336" w:type="dxa"/>
        <w:jc w:val="left"/>
        <w:tblInd w:w="0" w:type="dxa"/>
        <w:tblLayout w:type="fixed"/>
        <w:tblCellMar>
          <w:top w:w="28" w:type="dxa"/>
          <w:left w:w="28" w:type="dxa"/>
          <w:bottom w:w="28" w:type="dxa"/>
          <w:right w:w="28" w:type="dxa"/>
        </w:tblCellMar>
      </w:tblPr>
      <w:tblGrid>
        <w:gridCol w:w="1359"/>
        <w:gridCol w:w="1195"/>
        <w:gridCol w:w="1211"/>
        <w:gridCol w:w="109"/>
        <w:gridCol w:w="109"/>
        <w:gridCol w:w="109"/>
        <w:gridCol w:w="211"/>
        <w:gridCol w:w="616"/>
        <w:gridCol w:w="109"/>
        <w:gridCol w:w="109"/>
        <w:gridCol w:w="109"/>
        <w:gridCol w:w="109"/>
        <w:gridCol w:w="211"/>
        <w:gridCol w:w="61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605" cy="14605"/>
                <wp:effectExtent l="0" t="0" r="0" b="0"/>
                <wp:wrapNone/>
                <wp:docPr id="80" name="Frame7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$24.2 million, $34.0 million and $34.1 million of software development costs, and recorded amortization expense of $32.8 million, $28.9 million and $22.1 million, during 2024, 2023 and 2022, respectively. No losses on disposal related to software development costs were recorded in 2024, 2023 or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exclusive of amortization of capitalized software development costs and intangible assets, was $2.2 million, $2.3 million and $1.9 million in 2024, 2023 and 2022, respectively.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6620" w:type="dxa"/>
        <w:jc w:val="left"/>
        <w:tblInd w:w="0" w:type="dxa"/>
        <w:tblLayout w:type="fixed"/>
        <w:tblCellMar>
          <w:top w:w="28" w:type="dxa"/>
          <w:left w:w="28" w:type="dxa"/>
          <w:bottom w:w="28" w:type="dxa"/>
          <w:right w:w="28" w:type="dxa"/>
        </w:tblCellMar>
      </w:tblPr>
      <w:tblGrid>
        <w:gridCol w:w="1537"/>
        <w:gridCol w:w="1352"/>
        <w:gridCol w:w="1370"/>
        <w:gridCol w:w="109"/>
        <w:gridCol w:w="109"/>
        <w:gridCol w:w="109"/>
        <w:gridCol w:w="211"/>
        <w:gridCol w:w="511"/>
        <w:gridCol w:w="109"/>
        <w:gridCol w:w="109"/>
        <w:gridCol w:w="109"/>
        <w:gridCol w:w="109"/>
        <w:gridCol w:w="211"/>
        <w:gridCol w:w="51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Warehouse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liabilities—noncurrent consisted of the following:</w:t>
      </w:r>
    </w:p>
    <w:tbl>
      <w:tblPr>
        <w:tblW w:w="5285" w:type="dxa"/>
        <w:jc w:val="left"/>
        <w:tblInd w:w="0" w:type="dxa"/>
        <w:tblLayout w:type="fixed"/>
        <w:tblCellMar>
          <w:top w:w="28" w:type="dxa"/>
          <w:left w:w="28" w:type="dxa"/>
          <w:bottom w:w="28" w:type="dxa"/>
          <w:right w:w="28" w:type="dxa"/>
        </w:tblCellMar>
      </w:tblPr>
      <w:tblGrid>
        <w:gridCol w:w="1056"/>
        <w:gridCol w:w="927"/>
        <w:gridCol w:w="941"/>
        <w:gridCol w:w="109"/>
        <w:gridCol w:w="109"/>
        <w:gridCol w:w="109"/>
        <w:gridCol w:w="211"/>
        <w:gridCol w:w="511"/>
        <w:gridCol w:w="109"/>
        <w:gridCol w:w="109"/>
        <w:gridCol w:w="109"/>
        <w:gridCol w:w="109"/>
        <w:gridCol w:w="211"/>
        <w:gridCol w:w="511"/>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5.Business Combinations</w:t>
      </w:r>
    </w:p>
    <w:p>
      <w:pPr>
        <w:pStyle w:val="TextBody"/>
        <w:bidi w:val="0"/>
        <w:spacing w:lineRule="auto" w:line="288" w:before="0" w:after="180"/>
        <w:ind w:left="0" w:right="0" w:firstLine="360"/>
        <w:jc w:val="both"/>
        <w:rPr/>
      </w:pPr>
      <w:r>
        <w:rPr>
          <w:rFonts w:ascii="Times New Roman;sans-serif" w:hAnsi="Times New Roman;sans-serif"/>
          <w:b/>
          <w:color w:val="000000"/>
          <w:sz w:val="20"/>
        </w:rPr>
        <w:t>Next Door Lending LLC</w:t>
      </w:r>
      <w:r>
        <w:rPr>
          <w:color w:val="000000"/>
        </w:rPr>
        <w:t>—</w:t>
      </w:r>
      <w:r>
        <w:rPr>
          <w:rFonts w:ascii="Times New Roman;sans-serif" w:hAnsi="Times New Roman;sans-serif"/>
          <w:b w:val="false"/>
          <w:color w:val="000000"/>
          <w:sz w:val="20"/>
        </w:rPr>
        <w:t>On October 1, 2024, the Company acquired all outstanding equity interests of Next Door Lending LLC (NDL), a mortgage brokerage, for a purchase consideration of $1.0 million in cash. The acquisition of NDL is intended to allow the Company to provide mortgage shoppers with more hands-on guidance.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has been accounted for as a business combination. The fair value of assets acquired totaled $7.2 million, and was primarily comprised of $0.7 million of cash and cash equivalents, $4.7 million of mortgage loans held for sale, $1.1 million of contract assets, and $0.4 million for an ROU asset. The fair value of liabilities assumed totaled $7.1 million, and was primarily comprised of $2.1 million of accounts payable and accrued expenses and $4.6 million of short-term borrowings under a warehouse line of credit, and $0.4 million for lease liabilities. The Company recorded $0.9 million of goodwill for this business acquisition.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the purchase agreement, certain employees of NDL could earn up to an aggregate of $3.5 million of performance-based cash earnout awards, with the value of such earnout awards to be recognized as compensation expense following the close of the acquisition through 2028, generally subject to the employees’ continued employment with the Company. The value of these cash earnout awards are excluded from the purchase consideration and accounted for separately from the business combination.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NDL’s contribution following the closing of the acquisition through December 31, 2024 was not material to the Company’s revenue and operating income for 2024, Pro forma results of operations have not been provided to reflect the NDL acquisition as such results would not have been materially different from the Company’s reported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On the Barrelhead, Inc.</w:t>
      </w:r>
      <w:r>
        <w:rPr>
          <w:color w:val="000000"/>
        </w:rPr>
        <w:t>—</w:t>
      </w:r>
      <w:r>
        <w:rPr>
          <w:rFonts w:ascii="Times New Roman;sans-serif" w:hAnsi="Times New Roman;sans-serif"/>
          <w:b w:val="false"/>
          <w:color w:val="000000"/>
          <w:sz w:val="20"/>
        </w:rPr>
        <w:t xml:space="preserve">On July 11, 2022, the Company completed the acquisition of On the Barrelhead, Inc. (OTB), a data-driven platform that provides consumers and </w:t>
      </w:r>
      <w:r>
        <w:rPr>
          <w:rFonts w:ascii="Times New Roman;sans-serif" w:hAnsi="Times New Roman;sans-serif"/>
          <w:b w:val="false"/>
          <w:color w:val="000000"/>
          <w:sz w:val="20"/>
          <w:shd w:fill="FFFFFF" w:val="clear"/>
        </w:rPr>
        <w:t>SMBs</w:t>
      </w:r>
      <w:r>
        <w:rPr>
          <w:color w:val="000000"/>
        </w:rPr>
        <w:t xml:space="preserve"> </w:t>
      </w:r>
      <w:r>
        <w:rPr>
          <w:rFonts w:ascii="Times New Roman;sans-serif" w:hAnsi="Times New Roman;sans-serif"/>
          <w:b w:val="false"/>
          <w:color w:val="000000"/>
          <w:sz w:val="20"/>
        </w:rPr>
        <w:t xml:space="preserve">with credit-driven product recommendations. The Company completed the acquisition of OTB under an Agreement and Plan of Merger and Reorganization.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Consideration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consisted of the following:</w:t>
      </w:r>
    </w:p>
    <w:tbl>
      <w:tblPr>
        <w:tblW w:w="10205" w:type="dxa"/>
        <w:jc w:val="left"/>
        <w:tblInd w:w="0" w:type="dxa"/>
        <w:tblLayout w:type="fixed"/>
        <w:tblCellMar>
          <w:top w:w="28" w:type="dxa"/>
          <w:left w:w="28" w:type="dxa"/>
          <w:bottom w:w="28" w:type="dxa"/>
          <w:right w:w="28" w:type="dxa"/>
        </w:tblCellMar>
      </w:tblPr>
      <w:tblGrid>
        <w:gridCol w:w="3214"/>
        <w:gridCol w:w="2813"/>
        <w:gridCol w:w="2853"/>
        <w:gridCol w:w="109"/>
        <w:gridCol w:w="109"/>
        <w:gridCol w:w="109"/>
        <w:gridCol w:w="211"/>
        <w:gridCol w:w="631"/>
        <w:gridCol w:w="156"/>
      </w:tblGrid>
      <w:tr>
        <w:trPr/>
        <w:tc>
          <w:tcPr>
            <w:tcW w:w="3214"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8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8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Cash consideration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Stock consideration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Less: amounts considered separate from the business combination and attributable to post-combination expense</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$12.2 million of cash which was deposited in escrow for the settlement of breaches, if any, of certain representations, warranties, agreements and covenants.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the aggregate fair value of 4.9 million shares issued of the Company’s Class A common stock based on the closing price of the stock on the acquisition date of July 11, 2022, which was $8.75 per share.</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Primarily comprised of the additional fair value of unvested OTB option awards discretionally accelerated by the Company and attributable to post-combination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Half of the stock consideration was subject to a lockup arrangement whereby such shares may not be sold or otherwise transferred prior to expiration of the 24-month period following the acquisition date.</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Retention Agreements and Inducement Awards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closing of the acquisition, the Company provided employment offer letters to OTB’s employees, including compensatory retention agreements with the co-founders of OTB which could result in up to $15.0 million of cash awards. Cash awards under these retention agreements are payable in equal installments on the first, second and third anniversary dates of the closing of the acquisition. Also concurrently with the closing of the acquisition, the Compensation Committee of the Company’s Board of Directors granted RSU awards under the NerdWallet, Inc. 2022 Inducement Equity Incentive Plan (the Inducement Plan) to employees of OTB who were offered employment with the Company, which RSU awards had an aggregate grant date fair value on the acquisition date of $17.5 million, including $12.8 million of RSU awards to the co-founders of OTB, $2.3 million of RSU awards to six non-management employees of OTB and $2.4 million of RSU awards to all fourteen employees of OTB. The $12.8 million of RSU awards to the co-founders of OTB will generally vest in full upon the third anniversary of the closing of the acquisition. The $2.3 million of RSU awards to non-management employees of OTB will generally vest annually over four years, with 20% of the RSUs subject to vest on each of the first, second and third annual vesting dates and the remaining 40% of the RSUs subject to vest on the fourth annual vesting date. The $2.4 million of RSU awards granted to all employees of OTB will generally vest over four years subject to a one-year cliff and quarterly vesting thereafter. RSU awards under the Inducement Plan are subject to the conditions of the Inducement Plan and the terms and conditions of the grant agreements covering such awards. Compensation expenses under these employment offer letters and vesting of awards under these retention agreements and Inducement Plan are generally subject to the employees’ continued employment with the Company, and the fair value of such compensation and awards are excluded from the purchase price and accounted for separately from the business combination. The value of cash awards under these retention agreements are generally recognized as compensation expense ratably over the three-year period following the close of the acquisition. The value of RSU awards under the Inducement Plan are generally recognized as stock-based compensation ratably over the respective vesting terms of the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Accounting</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has been accounted for as a business combination. The allocation of purchase consideration to the assets acquired and liabilities assumed is as follows: </w:t>
      </w:r>
    </w:p>
    <w:tbl>
      <w:tblPr>
        <w:tblW w:w="5147" w:type="dxa"/>
        <w:jc w:val="left"/>
        <w:tblInd w:w="0" w:type="dxa"/>
        <w:tblLayout w:type="fixed"/>
        <w:tblCellMar>
          <w:top w:w="28" w:type="dxa"/>
          <w:left w:w="28" w:type="dxa"/>
          <w:bottom w:w="28" w:type="dxa"/>
          <w:right w:w="28" w:type="dxa"/>
        </w:tblCellMar>
      </w:tblPr>
      <w:tblGrid>
        <w:gridCol w:w="1381"/>
        <w:gridCol w:w="1212"/>
        <w:gridCol w:w="1231"/>
        <w:gridCol w:w="109"/>
        <w:gridCol w:w="109"/>
        <w:gridCol w:w="109"/>
        <w:gridCol w:w="211"/>
        <w:gridCol w:w="631"/>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intangible assets consist of definite-lived assets with estimated fair values and useful lives as follows:</w:t>
      </w:r>
    </w:p>
    <w:tbl>
      <w:tblPr>
        <w:tblW w:w="5109" w:type="dxa"/>
        <w:jc w:val="left"/>
        <w:tblInd w:w="0" w:type="dxa"/>
        <w:tblLayout w:type="fixed"/>
        <w:tblCellMar>
          <w:top w:w="28" w:type="dxa"/>
          <w:left w:w="28" w:type="dxa"/>
          <w:bottom w:w="28" w:type="dxa"/>
          <w:right w:w="28" w:type="dxa"/>
        </w:tblCellMar>
      </w:tblPr>
      <w:tblGrid>
        <w:gridCol w:w="744"/>
        <w:gridCol w:w="653"/>
        <w:gridCol w:w="658"/>
        <w:gridCol w:w="109"/>
        <w:gridCol w:w="109"/>
        <w:gridCol w:w="109"/>
        <w:gridCol w:w="224"/>
        <w:gridCol w:w="544"/>
        <w:gridCol w:w="116"/>
        <w:gridCol w:w="109"/>
        <w:gridCol w:w="109"/>
        <w:gridCol w:w="109"/>
        <w:gridCol w:w="444"/>
        <w:gridCol w:w="444"/>
        <w:gridCol w:w="62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Useful Life</w:t>
              <w:br/>
              <w:t>(Years)</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intangible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acquired intangible assets was determined using the multi-period excess earnings method of the income approach for developed technology, and the replacement cost method for customer relationships.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tax liability of $12.1 million primarily relates to identified 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goodwill of $68.1 million, which represents the excess of the purchase consideration over the estimated fair value of the assets acquired, net of the liabilities assumed. The goodwill is primarily attributable to synergies from combining the operations of the Company and OTB, as well as the value ascribed to the knowledge and experience of the OTB co-founders and employees. For income tax purposes, the acquisition is a stock purchase and goodwill is not tax deductible.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of $3.5 million were incurred during 2022, and are included in general and administrative expense on the consolidated statements of operations. Due to the extensive level of integration of OTB’s technology and operations into the Company’s operations following the closing of the acquisition, the Company is not able to quantify the acquisition’s contribution following the closing of the acquisition to the Company’s revenue and operating loss for 2022, as the ability to objectively quantify such amounts would require a significant level of estimation.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Financial Information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for the year ended December 31, 2022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preliminary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respective periods.The unaudited pro forma financial information is as follows:</w:t>
      </w:r>
    </w:p>
    <w:tbl>
      <w:tblPr>
        <w:tblW w:w="3318" w:type="dxa"/>
        <w:jc w:val="left"/>
        <w:tblInd w:w="0" w:type="dxa"/>
        <w:tblLayout w:type="fixed"/>
        <w:tblCellMar>
          <w:top w:w="28" w:type="dxa"/>
          <w:left w:w="28" w:type="dxa"/>
          <w:bottom w:w="28" w:type="dxa"/>
          <w:right w:w="28" w:type="dxa"/>
        </w:tblCellMar>
      </w:tblPr>
      <w:tblGrid>
        <w:gridCol w:w="726"/>
        <w:gridCol w:w="637"/>
        <w:gridCol w:w="647"/>
        <w:gridCol w:w="109"/>
        <w:gridCol w:w="109"/>
        <w:gridCol w:w="109"/>
        <w:gridCol w:w="211"/>
        <w:gridCol w:w="61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is not intended to present, or be indicative of, what the results of operations would have been for the combined company for the periods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6.Goodwill and 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goodwill, net is as follows:</w:t>
      </w:r>
    </w:p>
    <w:tbl>
      <w:tblPr>
        <w:tblW w:w="5931" w:type="dxa"/>
        <w:jc w:val="left"/>
        <w:tblInd w:w="0" w:type="dxa"/>
        <w:tblLayout w:type="fixed"/>
        <w:tblCellMar>
          <w:top w:w="28" w:type="dxa"/>
          <w:left w:w="28" w:type="dxa"/>
          <w:bottom w:w="28" w:type="dxa"/>
          <w:right w:w="28" w:type="dxa"/>
        </w:tblCellMar>
      </w:tblPr>
      <w:tblGrid>
        <w:gridCol w:w="1214"/>
        <w:gridCol w:w="1065"/>
        <w:gridCol w:w="1081"/>
        <w:gridCol w:w="109"/>
        <w:gridCol w:w="109"/>
        <w:gridCol w:w="109"/>
        <w:gridCol w:w="211"/>
        <w:gridCol w:w="616"/>
        <w:gridCol w:w="109"/>
        <w:gridCol w:w="109"/>
        <w:gridCol w:w="109"/>
        <w:gridCol w:w="109"/>
        <w:gridCol w:w="211"/>
        <w:gridCol w:w="616"/>
        <w:gridCol w:w="154"/>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charges have been recorded for goodwill in 2024, 2023 or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lives related to the following:</w:t>
      </w:r>
    </w:p>
    <w:tbl>
      <w:tblPr>
        <w:tblW w:w="9542"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764"/>
        <w:gridCol w:w="764"/>
        <w:gridCol w:w="766"/>
        <w:gridCol w:w="109"/>
        <w:gridCol w:w="109"/>
        <w:gridCol w:w="109"/>
        <w:gridCol w:w="358"/>
        <w:gridCol w:w="867"/>
        <w:gridCol w:w="185"/>
        <w:gridCol w:w="109"/>
        <w:gridCol w:w="109"/>
        <w:gridCol w:w="109"/>
        <w:gridCol w:w="269"/>
        <w:gridCol w:w="672"/>
        <w:gridCol w:w="140"/>
        <w:gridCol w:w="109"/>
        <w:gridCol w:w="109"/>
        <w:gridCol w:w="109"/>
        <w:gridCol w:w="350"/>
        <w:gridCol w:w="849"/>
        <w:gridCol w:w="255"/>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Remaining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Useful Life</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 Amount</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User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tbl>
      <w:tblPr>
        <w:tblW w:w="9542"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764"/>
        <w:gridCol w:w="764"/>
        <w:gridCol w:w="766"/>
        <w:gridCol w:w="109"/>
        <w:gridCol w:w="109"/>
        <w:gridCol w:w="109"/>
        <w:gridCol w:w="358"/>
        <w:gridCol w:w="867"/>
        <w:gridCol w:w="185"/>
        <w:gridCol w:w="109"/>
        <w:gridCol w:w="109"/>
        <w:gridCol w:w="109"/>
        <w:gridCol w:w="269"/>
        <w:gridCol w:w="672"/>
        <w:gridCol w:w="140"/>
        <w:gridCol w:w="109"/>
        <w:gridCol w:w="109"/>
        <w:gridCol w:w="109"/>
        <w:gridCol w:w="350"/>
        <w:gridCol w:w="849"/>
        <w:gridCol w:w="255"/>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Remaining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Useful Life</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 Amount</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User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definite-lived intangible assets was $13.7 million, $17.3 million and $13.0 million in 2024, 2023 and 2022,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as of December 31, 2024 is as follows:</w:t>
      </w:r>
    </w:p>
    <w:tbl>
      <w:tblPr>
        <w:tblW w:w="3583" w:type="dxa"/>
        <w:jc w:val="left"/>
        <w:tblInd w:w="0" w:type="dxa"/>
        <w:tblLayout w:type="fixed"/>
        <w:tblCellMar>
          <w:top w:w="28" w:type="dxa"/>
          <w:left w:w="28" w:type="dxa"/>
          <w:bottom w:w="28" w:type="dxa"/>
          <w:right w:w="28" w:type="dxa"/>
        </w:tblCellMar>
      </w:tblPr>
      <w:tblGrid>
        <w:gridCol w:w="770"/>
        <w:gridCol w:w="677"/>
        <w:gridCol w:w="683"/>
        <w:gridCol w:w="109"/>
        <w:gridCol w:w="109"/>
        <w:gridCol w:w="109"/>
        <w:gridCol w:w="271"/>
        <w:gridCol w:w="656"/>
        <w:gridCol w:w="199"/>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charges have been recorded for intangible assets in 2024, 2023 or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7.Debt</w:t>
      </w:r>
    </w:p>
    <w:p>
      <w:pPr>
        <w:pStyle w:val="TextBody"/>
        <w:bidi w:val="0"/>
        <w:spacing w:lineRule="auto" w:line="288" w:before="0" w:after="180"/>
        <w:ind w:left="0" w:right="0" w:firstLine="360"/>
        <w:jc w:val="both"/>
        <w:rPr/>
      </w:pPr>
      <w:r>
        <w:rPr>
          <w:rFonts w:ascii="Times New Roman;sans-serif" w:hAnsi="Times New Roman;sans-serif"/>
          <w:b/>
          <w:color w:val="000000"/>
          <w:sz w:val="20"/>
        </w:rPr>
        <w:t>Credit Facility</w:t>
      </w:r>
      <w:r>
        <w:rPr>
          <w:color w:val="000000"/>
        </w:rPr>
        <w:t>—</w:t>
      </w:r>
      <w:r>
        <w:rPr>
          <w:rFonts w:ascii="Times New Roman;sans-serif" w:hAnsi="Times New Roman;sans-serif"/>
          <w:b w:val="false"/>
          <w:color w:val="000000"/>
          <w:sz w:val="20"/>
        </w:rPr>
        <w:t>On September 26, 2023, NerdWallet, Inc. and three of its wholly-owned subsidiaries entered into a credit agreement which over time has been amended (as amended,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the Company and certain of its domestic subsidiaries for general corporate purposes, including acquisitions. The Credit Agreement includes a letter of credit sub-facility in the aggregate amount of $10.0 million and a swingline sub-facility in the aggregate amount of $10.0 million. The Credit Facility is secured by substantially all of the Company’s assets. The Company and each of its material domestic subsidiaries is a guarantor of all of the obligations under the Credit Facility. The Credit Facility matures on September 26, 2028.</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replaced the Company’s prior credit facility under the Amended and Restated Senior Secured Credit Facilities Credit Agreement dated February 19, 2021 between the Company and Silicon Valley Bank, as administrative agent (the Prior Credit Agreement), which was terminated substantially concurrently with the Company’s entering into the Credit Agreement.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charged a commitment fee of between 0.25% and 0.35% of the total facility commitments, depending on the Company’s total net leverage ratio.</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bear interest at a floating rate and may be maintained as alternate base rate loans (tied to the prime rate, the federal funds rate plus 0.50%, the overnight bank funding rate plus 0.50%, or the adjusted term secured overnight financing rate (SOFR) for a one-month period plus 1.00%) or as term benchmark loans tied to adjusted term SOFR plus 0.10%, in each case plus a margin of 2.25% to 2.75% depending on the Company’s total net leverage ratio.</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outstanding balance under the Credit Agreement at December 31, 2024 or 2023. The available amount to borrow under the Credit Facility was $123.9 million and $123.7 million at December 31, 2024 and 2023, respectively, which was equal to the available amount under the agreement of $125.0 million net of letters of credit of $1.1 million and $1.3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Company to comply with maximum total net leverage and minimum fixed charge coverage ratios. In addition, the Credit Agreement contains other standard affirmative and negative covenants such as those which (subject to certain thresholds) limit the ability of the Company and its subsidiaries to, among other things, incur debt, incur liens, engage in mergers, consolidations, liquidations or acquisitions, enter into new lines of business not related to the Company’s current lines of business, make certain investments, make distributions on or repurchase its equity securities, engage in transactions with affiliates, or enter into certain hedging obligations. Events of default under the Credit Agreement include, among other things, payment defaults, breaches of representations, warranties or covenants, defaults under material indebtedness, certain events of bankruptcy or insolvency, judgment defaults, certain defaults or events relating to employee benefit plans or a change in control of the Company. The events of default would permit the lenders to terminate commitments and accelerate the maturity of borrowings under the Credit Facility if not cured within applicable grace periods. The Company was in compliance with all covenants as of December 31, 2024 and 2023,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2022, the Company borrowed $70.0 million under the Prior Credit Agreement to finance the cash portion of the purchase consideration for the acquisition of OTB. This borrowing was fully repaid by the Company in December 2022.</w:t>
      </w:r>
    </w:p>
    <w:p>
      <w:pPr>
        <w:pStyle w:val="TextBody"/>
        <w:bidi w:val="0"/>
        <w:spacing w:lineRule="auto" w:line="288" w:before="0" w:after="180"/>
        <w:ind w:left="0" w:right="0" w:firstLine="360"/>
        <w:jc w:val="both"/>
        <w:rPr/>
      </w:pPr>
      <w:r>
        <w:rPr>
          <w:rFonts w:ascii="Times New Roman;sans-serif" w:hAnsi="Times New Roman;sans-serif"/>
          <w:b/>
          <w:color w:val="000000"/>
          <w:sz w:val="20"/>
        </w:rPr>
        <w:t>Warehouse Line of Credit</w:t>
      </w:r>
      <w:r>
        <w:rPr>
          <w:color w:val="000000"/>
        </w:rPr>
        <w:t>—</w:t>
      </w:r>
      <w:r>
        <w:rPr>
          <w:rFonts w:ascii="Times New Roman;sans-serif" w:hAnsi="Times New Roman;sans-serif"/>
          <w:b w:val="false"/>
          <w:color w:val="000000"/>
          <w:sz w:val="20"/>
        </w:rPr>
        <w:t>NDL maintains a $15.0 million warehouse line of credit to provide NDL short-term funding for mortgage loans originated for sale. Borrowings under the warehouse line of credit bear interest at the interest rate of the underlying mortgage loans held for sale, subject to a 6% minimum, and are secured by the underlying promissory notes of the mortgage loans held for sale, as well as NDL’s other assets. The warehouse line of credit matures on February 1, 2026. NDL had $2.5 million outstanding under the warehouse line of credit with a weighted-average interest rate of 6.77% as of December 31, 2024, which is included in accrued expenses and other current liabilities on the consolidated balance sheet. The warehouse line of credit requires NDL to comply with minimum tangible net worth, liquidity and insurance requirements. NDL was in compliance with all covenants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8.Commitments and Contingencies</w:t>
      </w:r>
    </w:p>
    <w:p>
      <w:pPr>
        <w:pStyle w:val="TextBody"/>
        <w:bidi w:val="0"/>
        <w:spacing w:lineRule="auto" w:line="288" w:before="0" w:after="180"/>
        <w:ind w:left="0" w:right="0" w:firstLine="360"/>
        <w:jc w:val="both"/>
        <w:rPr/>
      </w:pPr>
      <w:r>
        <w:rPr>
          <w:rFonts w:ascii="Times New Roman;sans-serif" w:hAnsi="Times New Roman;sans-serif"/>
          <w:b/>
          <w:color w:val="000000"/>
          <w:sz w:val="20"/>
        </w:rPr>
        <w:t>Commitments and Other Financial Arrangements</w:t>
      </w:r>
      <w:r>
        <w:rPr>
          <w:color w:val="000000"/>
        </w:rPr>
        <w:t>—</w:t>
      </w:r>
      <w:r>
        <w:rPr>
          <w:rFonts w:ascii="Times New Roman;sans-serif" w:hAnsi="Times New Roman;sans-serif"/>
          <w:b w:val="false"/>
          <w:color w:val="000000"/>
          <w:sz w:val="20"/>
        </w:rPr>
        <w:t xml:space="preserve">The Company has certain financial commitments and other arrangements including unused letters of credit, commitments under leases, and an outstanding warehouse line of credit. See Note 7–Debt and Note 9–Leases for further discussion. </w:t>
      </w:r>
    </w:p>
    <w:p>
      <w:pPr>
        <w:pStyle w:val="TextBody"/>
        <w:bidi w:val="0"/>
        <w:spacing w:lineRule="auto" w:line="288" w:before="0" w:after="180"/>
        <w:ind w:left="0" w:right="0" w:firstLine="360"/>
        <w:jc w:val="both"/>
        <w:rPr/>
      </w:pPr>
      <w:r>
        <w:rPr>
          <w:rFonts w:ascii="Times New Roman;sans-serif" w:hAnsi="Times New Roman;sans-serif"/>
          <w:b/>
          <w:color w:val="000000"/>
          <w:sz w:val="20"/>
        </w:rPr>
        <w:t>Litigation and Other Legal Matters</w:t>
      </w:r>
      <w:r>
        <w:rPr>
          <w:color w:val="000000"/>
        </w:rPr>
        <w:t>—</w:t>
      </w:r>
      <w:r>
        <w:rPr>
          <w:rFonts w:ascii="Times New Roman;sans-serif" w:hAnsi="Times New Roman;sans-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December 31,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9.Leases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operating lease costs are as follows:</w:t>
      </w:r>
    </w:p>
    <w:tbl>
      <w:tblPr>
        <w:tblW w:w="5213"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term and discount rate are as follows:</w:t>
      </w:r>
    </w:p>
    <w:tbl>
      <w:tblPr>
        <w:tblW w:w="5967" w:type="dxa"/>
        <w:jc w:val="left"/>
        <w:tblInd w:w="0" w:type="dxa"/>
        <w:tblLayout w:type="fixed"/>
        <w:tblCellMar>
          <w:top w:w="28" w:type="dxa"/>
          <w:left w:w="28" w:type="dxa"/>
          <w:bottom w:w="28" w:type="dxa"/>
          <w:right w:w="28" w:type="dxa"/>
        </w:tblCellMar>
      </w:tblPr>
      <w:tblGrid>
        <w:gridCol w:w="1416"/>
        <w:gridCol w:w="1243"/>
        <w:gridCol w:w="1255"/>
        <w:gridCol w:w="109"/>
        <w:gridCol w:w="109"/>
        <w:gridCol w:w="109"/>
        <w:gridCol w:w="203"/>
        <w:gridCol w:w="203"/>
        <w:gridCol w:w="271"/>
        <w:gridCol w:w="109"/>
        <w:gridCol w:w="109"/>
        <w:gridCol w:w="109"/>
        <w:gridCol w:w="203"/>
        <w:gridCol w:w="203"/>
        <w:gridCol w:w="316"/>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entered into a sublease agreement for a portion of the Company’s office space in San Francisco. The sublease expires concurrently with the corresponding head lease, but does not relieve the Company of its obligations under the head lease. The Company determined that the sublease arrangement was an operating lease at inception, and is recognizing sublease income on a straight-line basis over the sublease term as a reduction of rent expense. As a result of the sublease, the Company evaluated the associated head lease ROU asset and sublease-related furniture and fixtures and leasehold improvements for impairment, as the change in circumstances indicated that the carrying amount of such assets may not be recoverable. The Company estimated the fair value of these assets as of the effective date of the sublease agreement using an income approach based on expected future cash flows from the subleased property. The Company recognized impairment charges of $1.6 million related to the sublease which are included in general and administrative expense on the consolidated statements of operations, including a $1.4 million impairment of ROU asset and $0.2 million of loss on disposal of sublease-related furniture and fixtures and leasehold improvements, in 2023.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ROU assets were $5.3 million and $7.2 million as of December 31, 2024 and 2023,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lease liabilities as of December 31, 2024 are as follows:</w:t>
      </w:r>
    </w:p>
    <w:tbl>
      <w:tblPr>
        <w:tblW w:w="3903" w:type="dxa"/>
        <w:jc w:val="left"/>
        <w:tblInd w:w="0" w:type="dxa"/>
        <w:tblLayout w:type="fixed"/>
        <w:tblCellMar>
          <w:top w:w="28" w:type="dxa"/>
          <w:left w:w="28" w:type="dxa"/>
          <w:bottom w:w="28" w:type="dxa"/>
          <w:right w:w="28" w:type="dxa"/>
        </w:tblCellMar>
      </w:tblPr>
      <w:tblGrid>
        <w:gridCol w:w="1014"/>
        <w:gridCol w:w="891"/>
        <w:gridCol w:w="900"/>
        <w:gridCol w:w="109"/>
        <w:gridCol w:w="109"/>
        <w:gridCol w:w="109"/>
        <w:gridCol w:w="211"/>
        <w:gridCol w:w="40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10.Stockholders’ Equity</w:t>
      </w:r>
    </w:p>
    <w:p>
      <w:pPr>
        <w:pStyle w:val="TextBody"/>
        <w:bidi w:val="0"/>
        <w:spacing w:lineRule="auto" w:line="288" w:before="0" w:after="180"/>
        <w:ind w:left="0" w:right="0" w:firstLine="360"/>
        <w:jc w:val="both"/>
        <w:rPr/>
      </w:pPr>
      <w:r>
        <w:rPr>
          <w:rFonts w:ascii="Times New Roman;sans-serif" w:hAnsi="Times New Roman;sans-serif"/>
          <w:b/>
          <w:color w:val="000000"/>
          <w:sz w:val="20"/>
        </w:rPr>
        <w:t>Preferred Stock</w:t>
      </w:r>
      <w:r>
        <w:rPr>
          <w:color w:val="000000"/>
        </w:rPr>
        <w:t>—</w:t>
      </w:r>
      <w:r>
        <w:rPr>
          <w:rFonts w:ascii="Times New Roman;sans-serif" w:hAnsi="Times New Roman;sans-serif"/>
          <w:b w:val="false"/>
          <w:color w:val="000000"/>
          <w:sz w:val="20"/>
        </w:rPr>
        <w:t>Under the Company’s amended and restated certificate of incorporation, the Company is authorized to issue 5.0 million shares of preferred stock with a par value of $0.0001 per share. The Company’s Board of Directors may fix the rights, preferences, privileges and restrictions of the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There were no shares of preferred stock outstanding as of December 31, 2024 or 2023.</w:t>
      </w:r>
    </w:p>
    <w:p>
      <w:pPr>
        <w:pStyle w:val="TextBody"/>
        <w:bidi w:val="0"/>
        <w:spacing w:lineRule="auto" w:line="288" w:before="0" w:after="180"/>
        <w:ind w:left="0" w:right="0" w:firstLine="360"/>
        <w:jc w:val="both"/>
        <w:rPr/>
      </w:pPr>
      <w:r>
        <w:rPr>
          <w:rFonts w:ascii="Times New Roman;sans-serif" w:hAnsi="Times New Roman;sans-serif"/>
          <w:b/>
          <w:color w:val="000000"/>
          <w:sz w:val="20"/>
        </w:rPr>
        <w:t>Common Stock</w:t>
      </w:r>
      <w:r>
        <w:rPr>
          <w:color w:val="000000"/>
        </w:rPr>
        <w:t>—</w:t>
      </w:r>
      <w:r>
        <w:rPr>
          <w:rFonts w:ascii="Times New Roman;sans-serif" w:hAnsi="Times New Roman;sans-serif"/>
          <w:b w:val="false"/>
          <w:color w:val="000000"/>
          <w:sz w:val="20"/>
        </w:rPr>
        <w:t>Under the Company’s amended and restated certificate of incorporation, the Company is authorized to issue 296.7 million shares of common stock with a par value of $0.0001 per share, including 265.0 million shares of Class A common stock and 31.7 million shares of Class B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all classes of common stock are entitled to dividends when, as and if, declared by the Company’s Board of Directors, subject to the rights of the holders of all classes of stock outstanding having priority rights to dividends. The holder of each share of Class A common stock is entitled to one vote, while the holder of each share of Class B common stock is entitled to 10 votes.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Class B common stock are convertible, at any time at the option of the holder, into an equal number of shares of Class A common stock and automatically convertible upon Transfer, which is defined as any sale, assignment, transfer, conveyance, hypothecation or other transfer or disposition of such share or any legal or beneficial interest in such share, whether or not for value and whether voluntary or involuntary or by operation of law.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there were 42.4 million and 45.3 million shares of Class A common stock issued and outstanding, respectively. Shares of Class B common stock issued and outstanding were 31.7 million as of both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Share Repurchase Program</w:t>
      </w:r>
      <w:r>
        <w:rPr>
          <w:color w:val="000000"/>
        </w:rPr>
        <w:t>—</w:t>
      </w:r>
      <w:r>
        <w:rPr>
          <w:rFonts w:ascii="Times New Roman;sans-serif" w:hAnsi="Times New Roman;sans-serif"/>
          <w:b w:val="false"/>
          <w:color w:val="000000"/>
          <w:sz w:val="20"/>
        </w:rPr>
        <w:t>The Company announced on May 2, 2023 that its Board of Directors authorized a plan under which the Company may repurchase up to $20 million of its Class A common stock and, following the Company’s utilization of that share repurchase authorization, the Company announced on October 26, 2023, September 9, 2024 and October 29, 2024 that its Board of Directors approved additional share repurchase authorizations under which the Company may repurchase up to an additional $30 million, $50 million and $25 million, respectively, of its Class A common stock (collectively, the Repurchase Program). Subject to market conditions and other factors, the Repurchase Program is intended to make opportunistic repurchases of the Company’s Class A common stock to reduce the Company’s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the Company to acquire any specific number of shares. The timing and terms of any repurchases under the Repurchase Program are at management’s discretion and depend on a variety of factors, including business, economic and market conditions, regulatory requirements, prevailing stock prices and other considerations. Additionally, the Company may, from time to time, enter into Rule 10b-5 trading plans to facilitate repurchases. Shares repurchased under the Repurchase Program are retired. The Company repurchased 6.5 million shares of Class A common stock for $80.4 million, including costs associated with the repurchases, during 2024, and 2.3 million shares of Class A common stock for $20.0 million during 2023.</w:t>
      </w:r>
    </w:p>
    <w:p>
      <w:pPr>
        <w:pStyle w:val="TextBody"/>
        <w:bidi w:val="0"/>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Common Shares Reserved for Future Issuance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the following shares of Class A common stock for future issuance:</w:t>
      </w:r>
    </w:p>
    <w:tbl>
      <w:tblPr>
        <w:tblW w:w="6116" w:type="dxa"/>
        <w:jc w:val="left"/>
        <w:tblInd w:w="0" w:type="dxa"/>
        <w:tblLayout w:type="fixed"/>
        <w:tblCellMar>
          <w:top w:w="28" w:type="dxa"/>
          <w:left w:w="28" w:type="dxa"/>
          <w:bottom w:w="28" w:type="dxa"/>
          <w:right w:w="28" w:type="dxa"/>
        </w:tblCellMar>
      </w:tblPr>
      <w:tblGrid>
        <w:gridCol w:w="1473"/>
        <w:gridCol w:w="1295"/>
        <w:gridCol w:w="1297"/>
        <w:gridCol w:w="109"/>
        <w:gridCol w:w="109"/>
        <w:gridCol w:w="109"/>
        <w:gridCol w:w="223"/>
        <w:gridCol w:w="223"/>
        <w:gridCol w:w="230"/>
        <w:gridCol w:w="109"/>
        <w:gridCol w:w="109"/>
        <w:gridCol w:w="109"/>
        <w:gridCol w:w="209"/>
        <w:gridCol w:w="209"/>
        <w:gridCol w:w="303"/>
      </w:tblGrid>
      <w:tr>
        <w:trPr/>
        <w:tc>
          <w:tcPr>
            <w:tcW w:w="147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Shares outstanding from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10,900</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equity award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10,345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ESPP offerings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21,852</w:t>
            </w:r>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Equity Incentive Plans</w:t>
      </w:r>
      <w:r>
        <w:rPr>
          <w:color w:val="000000"/>
        </w:rPr>
        <w:t>—</w:t>
      </w:r>
      <w:r>
        <w:rPr>
          <w:rFonts w:ascii="Times New Roman;sans-serif" w:hAnsi="Times New Roman;sans-serif"/>
          <w:b w:val="false"/>
          <w:color w:val="000000"/>
          <w:sz w:val="20"/>
        </w:rPr>
        <w:t>In 2012, the Company’s Board of Directors approved the adoption of the 2012 Equity Incentive Plan (the 2012 Plan). In October 2021, the Company’s Board of Directors approved the adoption of the 2021 Equity Incentive Plan (the 2021 Plan) and the termination of the 2012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Plan had an initial authorization to grant share-based awards for up to 4.1 million shares of Class A common stock, and additionally provides that any shares subject to outstanding awards under the 2012 Plan that are terminated, expire, are forfeited due to a failure to vest, are reacquired or withheld to satisfy a tax withholding obligation or to satisfy the purchase price or exercise price of a stock award will be added to the 2021 Plan and made available for future issuance. The termination of the 2012 Plan had no impact on the terms of outstanding awards under that plan. At the Company’s 2022 annual meeting of stockholders on May 25, 2022, the stockholders approved an amendment to the 2021 Equity Incentive Plan to increase the aggregate number of shares of Class A common stock reserved for issuance thereunder by 8.0 million shares. The number of shares of Class A common stock reserved for issuance under the 2021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val="false"/>
          <w:color w:val="000000"/>
          <w:sz w:val="20"/>
        </w:rPr>
        <w:t>Additionally, concurrent with the closing of the acquisition of OTB on July 11, 2022, the Compensation Committee of the Company’s Board of Directors granted RSU awards under the Inducement Plan to employees of OTB who were offered employment with the Company. See Note 5</w:t>
      </w:r>
      <w:r>
        <w:rPr>
          <w:color w:val="000000"/>
        </w:rPr>
        <w:t>—</w:t>
      </w:r>
      <w:r>
        <w:rPr>
          <w:rFonts w:ascii="Times New Roman;sans-serif" w:hAnsi="Times New Roman;sans-serif"/>
          <w:b w:val="false"/>
          <w:color w:val="000000"/>
          <w:sz w:val="20"/>
        </w:rPr>
        <w:t xml:space="preserve">Business Combination for further discussion. The 2021 Plan and the predecessor 2012 Plan, both as amended, along with the Inducement Plan (collectively, the Plans) provide for the grant of incentive and non-statutory stock options, stock appreciation rights, RSUs and restricted stock awards to employees, nonemployee directors and consultants of the Company. Options to purchase Class A common stock granted under the Plans continue to vest until the last day of employment and generally will vest 25% in the first year and monthly thereafter (for a total vesting period of 4 years), and expire 10 years from the date of grant. Class A common stock awards are generally issued to officers, directors, employees and consultants, and vest according to an award-specific schedule as approved by the Board of Directors.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of incentive stock options granted under the Plans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for its Plans is as follows:</w:t>
      </w:r>
    </w:p>
    <w:tbl>
      <w:tblPr>
        <w:tblW w:w="9649" w:type="dxa"/>
        <w:jc w:val="left"/>
        <w:tblInd w:w="0" w:type="dxa"/>
        <w:tblLayout w:type="fixed"/>
        <w:tblCellMar>
          <w:top w:w="28" w:type="dxa"/>
          <w:left w:w="28" w:type="dxa"/>
          <w:bottom w:w="28" w:type="dxa"/>
          <w:right w:w="28" w:type="dxa"/>
        </w:tblCellMar>
      </w:tblPr>
      <w:tblGrid>
        <w:gridCol w:w="1457"/>
        <w:gridCol w:w="1280"/>
        <w:gridCol w:w="1283"/>
        <w:gridCol w:w="109"/>
        <w:gridCol w:w="109"/>
        <w:gridCol w:w="109"/>
        <w:gridCol w:w="369"/>
        <w:gridCol w:w="369"/>
        <w:gridCol w:w="371"/>
        <w:gridCol w:w="109"/>
        <w:gridCol w:w="109"/>
        <w:gridCol w:w="109"/>
        <w:gridCol w:w="360"/>
        <w:gridCol w:w="361"/>
        <w:gridCol w:w="286"/>
        <w:gridCol w:w="109"/>
        <w:gridCol w:w="109"/>
        <w:gridCol w:w="109"/>
        <w:gridCol w:w="330"/>
        <w:gridCol w:w="330"/>
        <w:gridCol w:w="331"/>
        <w:gridCol w:w="109"/>
        <w:gridCol w:w="109"/>
        <w:gridCol w:w="109"/>
        <w:gridCol w:w="355"/>
        <w:gridCol w:w="355"/>
        <w:gridCol w:w="50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Life</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Intrinsic Value</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Balance as of December 31, 2024</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0.2 million of target award stock options with both service-based and performance-based conditions.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2024 and 2022 was $9.08 and $5.54 per share, respectively. There were no options granted during 2023. The intrinsic value of options exercised was $8.0 million, $14.5 million and $6.7 million during 2024, 2023 and 2022,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granted 0.2 million of target award stock options with both service-based and performance-based conditions to certain employees of the Company. Recipients of these performance-based stock options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stock options are also subject to service-based vesting over a period of 3 years.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compensation cost related to non-vested stock options granted under the Plans was $4.2 million as of December 31, 2024, with the cost expected to be recognized over a weighted-average period of 1.2 years.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values of options awarded on the date of grant using the Black-Scholes-Merton option-pricing model, which requires inputs, including the fair value of common stock, expected term, expected volatility, risk-free interest and dividend yield.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expected term of options using the simplified method described in Staff Accounting Bulletin Topic 14, as amended, as it does not have sufficient historical experience for determining the expected term of the awards granted. Expected volatility is estimated based on the average historical volatility of similar entities with publicly traded shares. The risk-free rate for the expected term of the option is based on the U.S. Treasury yield curve at the date of grant. The expected dividend yield is 0% as the Company has not paid, and does not expect to pay, cash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per-share fair value of each stock option was determined on the date of grant using the following weighted-average assumptions:</w:t>
      </w:r>
    </w:p>
    <w:tbl>
      <w:tblPr>
        <w:tblW w:w="4347" w:type="dxa"/>
        <w:jc w:val="left"/>
        <w:tblInd w:w="0" w:type="dxa"/>
        <w:tblLayout w:type="fixed"/>
        <w:tblCellMar>
          <w:top w:w="28" w:type="dxa"/>
          <w:left w:w="28" w:type="dxa"/>
          <w:bottom w:w="28" w:type="dxa"/>
          <w:right w:w="28" w:type="dxa"/>
        </w:tblCellMar>
      </w:tblPr>
      <w:tblGrid>
        <w:gridCol w:w="753"/>
        <w:gridCol w:w="664"/>
        <w:gridCol w:w="667"/>
        <w:gridCol w:w="109"/>
        <w:gridCol w:w="109"/>
        <w:gridCol w:w="109"/>
        <w:gridCol w:w="255"/>
        <w:gridCol w:w="256"/>
        <w:gridCol w:w="271"/>
        <w:gridCol w:w="109"/>
        <w:gridCol w:w="109"/>
        <w:gridCol w:w="109"/>
        <w:gridCol w:w="255"/>
        <w:gridCol w:w="256"/>
        <w:gridCol w:w="316"/>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Restricted Stock Units</w:t>
      </w:r>
      <w:r>
        <w:rPr>
          <w:color w:val="000000"/>
        </w:rPr>
        <w:t>—</w:t>
      </w:r>
      <w:r>
        <w:rPr>
          <w:rFonts w:ascii="Times New Roman;sans-serif" w:hAnsi="Times New Roman;sans-serif"/>
          <w:b w:val="false"/>
          <w:color w:val="000000"/>
          <w:sz w:val="20"/>
        </w:rPr>
        <w:t>The Plans also provide for the issuance of RSUs of the Company’s common stock to eligible participants. These RSUs are subject to service-based vesting conditions, which are generally satisfied over four years.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outstanding nonvested RSUs for its Plans is as follows:</w:t>
      </w:r>
    </w:p>
    <w:tbl>
      <w:tblPr>
        <w:tblW w:w="6384" w:type="dxa"/>
        <w:jc w:val="left"/>
        <w:tblInd w:w="0" w:type="dxa"/>
        <w:tblLayout w:type="fixed"/>
        <w:tblCellMar>
          <w:top w:w="28" w:type="dxa"/>
          <w:left w:w="28" w:type="dxa"/>
          <w:bottom w:w="28" w:type="dxa"/>
          <w:right w:w="28" w:type="dxa"/>
        </w:tblCellMar>
      </w:tblPr>
      <w:tblGrid>
        <w:gridCol w:w="1125"/>
        <w:gridCol w:w="989"/>
        <w:gridCol w:w="991"/>
        <w:gridCol w:w="109"/>
        <w:gridCol w:w="109"/>
        <w:gridCol w:w="109"/>
        <w:gridCol w:w="369"/>
        <w:gridCol w:w="369"/>
        <w:gridCol w:w="371"/>
        <w:gridCol w:w="109"/>
        <w:gridCol w:w="109"/>
        <w:gridCol w:w="109"/>
        <w:gridCol w:w="326"/>
        <w:gridCol w:w="951"/>
        <w:gridCol w:w="239"/>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Units</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Grant Date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Nonvested as of December 31, 2023</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Forfeited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Nonvested as of December 31, 2024</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0.2 million of target award RSUs with both service-based and performance-based conditions.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less than 0.1 million of target award RSUs with both service-based and performance-based conditions.</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the Company granted 0.1 million of target award RSUs with both service-based and performance-based conditions to certain employees of the Company. Recipients of these performance-based RSUs are eligible to earn between 0% and 200% of their target awards based upon the achievement of (i) a revenue-related growth metric and (ii) a non-GAAP operating income-related metric, both in fiscal year 2024, subject to certification of the attainment of the performance levels. These performance-based RSUs are also subject to service-based vesting over a period of three years.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shares that vested under RSUs was $37.0 million and $27.0 million during 2024 and 2023,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 related to RSUs was $47.9 million as of December 31, 2024, with these costs expected to be recognized over a weighted-average period of approximately 2.4 years.</w:t>
      </w:r>
    </w:p>
    <w:p>
      <w:pPr>
        <w:pStyle w:val="TextBody"/>
        <w:bidi w:val="0"/>
        <w:spacing w:lineRule="auto" w:line="288" w:before="0" w:after="180"/>
        <w:ind w:left="0" w:right="0" w:firstLine="360"/>
        <w:jc w:val="both"/>
        <w:rPr/>
      </w:pPr>
      <w:r>
        <w:rPr>
          <w:rFonts w:ascii="Times New Roman;sans-serif" w:hAnsi="Times New Roman;sans-serif"/>
          <w:b/>
          <w:color w:val="000000"/>
          <w:sz w:val="20"/>
        </w:rPr>
        <w:t>Employee Stock Purchase Plan</w:t>
      </w:r>
      <w:r>
        <w:rPr>
          <w:color w:val="000000"/>
        </w:rPr>
        <w:t>—</w:t>
      </w:r>
      <w:r>
        <w:rPr>
          <w:rFonts w:ascii="Times New Roman;sans-serif" w:hAnsi="Times New Roman;sans-serif"/>
          <w:b w:val="false"/>
          <w:color w:val="000000"/>
          <w:sz w:val="20"/>
        </w:rPr>
        <w:t>The Company sponsors an ESPP which allows eligible employees to buy shares of the Company’s Class A common stock at a 15% discount of the stock’s market value on defined dates. The ESPP authorizes the issuance of 0.8 million shares of the Company’s Class A common stock under purchase rights granted to eligible employees, with automatic increases in the number of shares reserved for issuance on January 1 of each calendar year, beginning in 2023 and through 2031, subject to terms of the ESPP. There were 0.1 million and 0.3 million shares of the Company’s Class A common stock purchased under the ESPP during 2024 and 2023, respectively. Prior to capitalizing amounts related to software development costs, the Company recognized stock-based compensation related to the ESPP of $0.7 million and $3.6 million during 2024 and 2023, respectively. Unrecognized compensation cost related to the ESPP was $0.4 million as of December 31, 2024, with these costs expected to be recognized over a period of 0.3 years through the end of the respective purchase period. The impact of forfeitures under the ESPP are recognized as forfeitures occur.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purchase rights granted under the ESPP were determined on the date of grant using the following weighted-average assumptions:</w:t>
      </w:r>
    </w:p>
    <w:tbl>
      <w:tblPr>
        <w:tblW w:w="4347" w:type="dxa"/>
        <w:jc w:val="left"/>
        <w:tblInd w:w="0" w:type="dxa"/>
        <w:tblLayout w:type="fixed"/>
        <w:tblCellMar>
          <w:top w:w="28" w:type="dxa"/>
          <w:left w:w="28" w:type="dxa"/>
          <w:bottom w:w="28" w:type="dxa"/>
          <w:right w:w="28" w:type="dxa"/>
        </w:tblCellMar>
      </w:tblPr>
      <w:tblGrid>
        <w:gridCol w:w="753"/>
        <w:gridCol w:w="664"/>
        <w:gridCol w:w="667"/>
        <w:gridCol w:w="109"/>
        <w:gridCol w:w="109"/>
        <w:gridCol w:w="109"/>
        <w:gridCol w:w="255"/>
        <w:gridCol w:w="256"/>
        <w:gridCol w:w="271"/>
        <w:gridCol w:w="109"/>
        <w:gridCol w:w="109"/>
        <w:gridCol w:w="109"/>
        <w:gridCol w:w="255"/>
        <w:gridCol w:w="256"/>
        <w:gridCol w:w="316"/>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pPr>
      <w:r>
        <w:rPr>
          <w:rFonts w:ascii="Times New Roman;sans-serif" w:hAnsi="Times New Roman;sans-serif"/>
          <w:b/>
          <w:color w:val="000000"/>
          <w:sz w:val="20"/>
        </w:rPr>
        <w:t>Stock-Based Compensation</w:t>
      </w:r>
      <w:r>
        <w:rPr>
          <w:color w:val="000000"/>
        </w:rPr>
        <w:t>—</w:t>
      </w:r>
      <w:r>
        <w:rPr>
          <w:rFonts w:ascii="Times New Roman;sans-serif" w:hAnsi="Times New Roman;sans-serif"/>
          <w:b w:val="false"/>
          <w:color w:val="000000"/>
          <w:sz w:val="20"/>
        </w:rPr>
        <w:t>The Company recognized stock-based compensation under the Plans and ESPP as follows:</w:t>
      </w:r>
    </w:p>
    <w:tbl>
      <w:tblPr>
        <w:tblW w:w="5828" w:type="dxa"/>
        <w:jc w:val="left"/>
        <w:tblInd w:w="0" w:type="dxa"/>
        <w:tblLayout w:type="fixed"/>
        <w:tblCellMar>
          <w:top w:w="28" w:type="dxa"/>
          <w:left w:w="28" w:type="dxa"/>
          <w:bottom w:w="28" w:type="dxa"/>
          <w:right w:w="28" w:type="dxa"/>
        </w:tblCellMar>
      </w:tblPr>
      <w:tblGrid>
        <w:gridCol w:w="835"/>
        <w:gridCol w:w="733"/>
        <w:gridCol w:w="741"/>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stock-based compensation of $3.8 million, $5.5 million and $6.3 million was capitalized related to software development costs in 2024, 2023 and 2022,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tax benefits for stock-based compensation arrangements of $10.9 million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before the provision for (benefit from) income taxes consisted of the following:</w:t>
      </w:r>
    </w:p>
    <w:tbl>
      <w:tblPr>
        <w:tblW w:w="5393"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211"/>
        <w:gridCol w:w="406"/>
        <w:gridCol w:w="109"/>
        <w:gridCol w:w="109"/>
        <w:gridCol w:w="109"/>
        <w:gridCol w:w="109"/>
        <w:gridCol w:w="211"/>
        <w:gridCol w:w="406"/>
        <w:gridCol w:w="109"/>
        <w:gridCol w:w="109"/>
        <w:gridCol w:w="109"/>
        <w:gridCol w:w="109"/>
        <w:gridCol w:w="211"/>
        <w:gridCol w:w="5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(benefit from) income taxes are as follows:</w:t>
      </w:r>
    </w:p>
    <w:tbl>
      <w:tblPr>
        <w:tblW w:w="6999" w:type="dxa"/>
        <w:jc w:val="left"/>
        <w:tblInd w:w="0" w:type="dxa"/>
        <w:tblLayout w:type="fixed"/>
        <w:tblCellMar>
          <w:top w:w="28" w:type="dxa"/>
          <w:left w:w="28" w:type="dxa"/>
          <w:bottom w:w="28" w:type="dxa"/>
          <w:right w:w="28" w:type="dxa"/>
        </w:tblCellMar>
      </w:tblPr>
      <w:tblGrid>
        <w:gridCol w:w="1241"/>
        <w:gridCol w:w="1091"/>
        <w:gridCol w:w="1103"/>
        <w:gridCol w:w="109"/>
        <w:gridCol w:w="109"/>
        <w:gridCol w:w="109"/>
        <w:gridCol w:w="211"/>
        <w:gridCol w:w="586"/>
        <w:gridCol w:w="109"/>
        <w:gridCol w:w="109"/>
        <w:gridCol w:w="109"/>
        <w:gridCol w:w="109"/>
        <w:gridCol w:w="211"/>
        <w:gridCol w:w="511"/>
        <w:gridCol w:w="109"/>
        <w:gridCol w:w="109"/>
        <w:gridCol w:w="109"/>
        <w:gridCol w:w="109"/>
        <w:gridCol w:w="211"/>
        <w:gridCol w:w="481"/>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statutory federal income tax rate to the Company’s effective tax rate is as follows:</w:t>
      </w:r>
    </w:p>
    <w:tbl>
      <w:tblPr>
        <w:tblW w:w="7043" w:type="dxa"/>
        <w:jc w:val="left"/>
        <w:tblInd w:w="0" w:type="dxa"/>
        <w:tblLayout w:type="fixed"/>
        <w:tblCellMar>
          <w:top w:w="28" w:type="dxa"/>
          <w:left w:w="28" w:type="dxa"/>
          <w:bottom w:w="28" w:type="dxa"/>
          <w:right w:w="28" w:type="dxa"/>
        </w:tblCellMar>
      </w:tblPr>
      <w:tblGrid>
        <w:gridCol w:w="1257"/>
        <w:gridCol w:w="1105"/>
        <w:gridCol w:w="1117"/>
        <w:gridCol w:w="109"/>
        <w:gridCol w:w="109"/>
        <w:gridCol w:w="109"/>
        <w:gridCol w:w="211"/>
        <w:gridCol w:w="586"/>
        <w:gridCol w:w="109"/>
        <w:gridCol w:w="109"/>
        <w:gridCol w:w="109"/>
        <w:gridCol w:w="109"/>
        <w:gridCol w:w="211"/>
        <w:gridCol w:w="511"/>
        <w:gridCol w:w="109"/>
        <w:gridCol w:w="109"/>
        <w:gridCol w:w="109"/>
        <w:gridCol w:w="109"/>
        <w:gridCol w:w="211"/>
        <w:gridCol w:w="481"/>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contingency and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The Company’s deferred tax assets and liabilities are as follows:</w:t>
      </w:r>
    </w:p>
    <w:tbl>
      <w:tblPr>
        <w:tblW w:w="6335" w:type="dxa"/>
        <w:jc w:val="left"/>
        <w:tblInd w:w="0" w:type="dxa"/>
        <w:tblLayout w:type="fixed"/>
        <w:tblCellMar>
          <w:top w:w="28" w:type="dxa"/>
          <w:left w:w="28" w:type="dxa"/>
          <w:bottom w:w="28" w:type="dxa"/>
          <w:right w:w="28" w:type="dxa"/>
        </w:tblCellMar>
      </w:tblPr>
      <w:tblGrid>
        <w:gridCol w:w="1445"/>
        <w:gridCol w:w="1271"/>
        <w:gridCol w:w="1288"/>
        <w:gridCol w:w="109"/>
        <w:gridCol w:w="109"/>
        <w:gridCol w:w="109"/>
        <w:gridCol w:w="211"/>
        <w:gridCol w:w="511"/>
        <w:gridCol w:w="109"/>
        <w:gridCol w:w="109"/>
        <w:gridCol w:w="109"/>
        <w:gridCol w:w="109"/>
        <w:gridCol w:w="211"/>
        <w:gridCol w:w="48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difference for fixed assets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deferred tax liability is recorded in other liabilities—noncurrent on the Company’s consolidated balance sheet.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allowance for deferred tax assets decreased $26.0 million in 2024, increased $20.8 million in 2023, and decreased $3.1 million in 2022, with changes in the valuation allowance recognized as an income tax provision (benefit) in the consolidated statements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of OTB on July 11, 2022, the Company recorded identified intangible assets of $50.1 million. As these identified intangible assets are not deductible for U.S. tax purposes, a related deferred tax liability of $12.1 million was recognized, which provided an additional source of taxable income to support the realization of a portion of the Company’s pre-existing U.S. deferred tax assets. As the Company had previously established a full valuation allowance against its net U.S. deferred tax assets, the Company reduced its deferred tax asset valuation allowance by a corresponding $12.1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federal net operating loss carryforwards (NOLs) of $0.2 million, which, if not utilized, will begin to expire in 2034. As of December 31, 2024, the Company has state NOLs of $14.2 million. The majority of state NOLs, if not utilized, will begin to expire on various dates beginning in 2032.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December 31, 2024, the Company has $20.6 million of California research and development credit carryforwards, which can be carried forward indefinitely.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management considers whether it is more likely than not that some portion or all of the deferred tax assets will not be realized. Utilization of the Company’s federal and state NOLs and tax credit carryforwards, as well as of other temporary differences, is dependent upon the generation of sufficient taxable income in future periods. In the Company’s ongoing assessment of all available evidence, both positive and negative, the Company considers the scheduled reversal of deferred tax liabilities, the Company’s future operating model and the expected impacts on future profitability, and prudent and feasible tax-planning strategies. The Company had previously maintained a valuation allowance against these net U.S. deferred tax assets as of December 31, 2023. During the three months ended December 31, 2024, the Company concluded that it was more likely than not that the Company will be able to fully realize its net U.S. Federal and majority state deferred tax assets, with a significant improvement in the Company’s profitability, coupled with anticipated future earnings, deemed to provide positive evidence to support sufficient taxable income in future periods, and accordingly recorded a valuation allowance release of $27.2 million. The Company continues to maintain a valuation allowance on its California deferred tax assets, which consist primarily of tax credits, as of December 31, 2024. The valuation allowance for deferred tax assets was $14.1 million and $40.1 million as of December 31, 2024 and 2023, respectively, with the decrease in 2024 primarily due to the $27.2 million release of the valuation allowance on net U.S. Federal and majority state deferred tax assets. The Company’s judgment regarding the likelihood of realization of these deferred tax assets could change in future periods, which could result in a material impact to the Company’s income tax provision in the period of change.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unrecognized tax benefits, excluding accrued interest and penalties, are as follows:</w:t>
      </w:r>
    </w:p>
    <w:tbl>
      <w:tblPr>
        <w:tblW w:w="7058" w:type="dxa"/>
        <w:jc w:val="left"/>
        <w:tblInd w:w="0" w:type="dxa"/>
        <w:tblLayout w:type="fixed"/>
        <w:tblCellMar>
          <w:top w:w="28" w:type="dxa"/>
          <w:left w:w="28" w:type="dxa"/>
          <w:bottom w:w="28" w:type="dxa"/>
          <w:right w:w="28" w:type="dxa"/>
        </w:tblCellMar>
      </w:tblPr>
      <w:tblGrid>
        <w:gridCol w:w="1317"/>
        <w:gridCol w:w="1157"/>
        <w:gridCol w:w="1170"/>
        <w:gridCol w:w="109"/>
        <w:gridCol w:w="109"/>
        <w:gridCol w:w="109"/>
        <w:gridCol w:w="211"/>
        <w:gridCol w:w="511"/>
        <w:gridCol w:w="109"/>
        <w:gridCol w:w="109"/>
        <w:gridCol w:w="109"/>
        <w:gridCol w:w="109"/>
        <w:gridCol w:w="211"/>
        <w:gridCol w:w="511"/>
        <w:gridCol w:w="109"/>
        <w:gridCol w:w="109"/>
        <w:gridCol w:w="109"/>
        <w:gridCol w:w="109"/>
        <w:gridCol w:w="211"/>
        <w:gridCol w:w="406"/>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increases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penalties were $0.5 million for 2024, and not material for 2023 and 2022. As of December 31, 2024, unrecognized tax benefits of $8.8 million, including accrued interest and penalties, would affect the Company’s provision for income taxes if recognized. The Company does not anticipate that its total unrecognized tax benefits will significantly change due to settlement of examination or the expiration of statute of limitations during the next 12 months.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and various state jurisdictions. The Company’s tax years for 2014 and forward are subject to examination by U.S. and various state tax authorities due to certain acquired attribute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12.Net Income (Loss) Per Basic and Diluted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EPS in conformity with the two-class method required for participating securities. The following table provides a reconciliation of the numerators and denominators of the basic and diluted per share computations for net income (loss) attributable to common stockholders:</w:t>
      </w:r>
    </w:p>
    <w:tbl>
      <w:tblPr>
        <w:tblW w:w="9728" w:type="dxa"/>
        <w:jc w:val="center"/>
        <w:tblInd w:w="0" w:type="dxa"/>
        <w:tblLayout w:type="fixed"/>
        <w:tblCellMar>
          <w:top w:w="28" w:type="dxa"/>
          <w:left w:w="28" w:type="dxa"/>
          <w:bottom w:w="28" w:type="dxa"/>
          <w:right w:w="28" w:type="dxa"/>
        </w:tblCellMar>
      </w:tblPr>
      <w:tblGrid>
        <w:gridCol w:w="2188"/>
        <w:gridCol w:w="1931"/>
        <w:gridCol w:w="1940"/>
        <w:gridCol w:w="109"/>
        <w:gridCol w:w="109"/>
        <w:gridCol w:w="109"/>
        <w:gridCol w:w="211"/>
        <w:gridCol w:w="511"/>
        <w:gridCol w:w="109"/>
        <w:gridCol w:w="109"/>
        <w:gridCol w:w="109"/>
        <w:gridCol w:w="109"/>
        <w:gridCol w:w="211"/>
        <w:gridCol w:w="586"/>
        <w:gridCol w:w="109"/>
        <w:gridCol w:w="109"/>
        <w:gridCol w:w="109"/>
        <w:gridCol w:w="109"/>
        <w:gridCol w:w="211"/>
        <w:gridCol w:w="586"/>
        <w:gridCol w:w="154"/>
      </w:tblGrid>
      <w:tr>
        <w:trPr/>
        <w:tc>
          <w:tcPr>
            <w:tcW w:w="218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RSUs, stock options and ESPP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common stock equivalents were excluded from the computation of diluted net income (loss) per share for the periods presented because including them would have been antidilutive:</w:t>
      </w:r>
    </w:p>
    <w:tbl>
      <w:tblPr>
        <w:tblW w:w="7162" w:type="dxa"/>
        <w:jc w:val="center"/>
        <w:tblInd w:w="0" w:type="dxa"/>
        <w:tblLayout w:type="fixed"/>
        <w:tblCellMar>
          <w:top w:w="28" w:type="dxa"/>
          <w:left w:w="28" w:type="dxa"/>
          <w:bottom w:w="28" w:type="dxa"/>
          <w:right w:w="28" w:type="dxa"/>
        </w:tblCellMar>
      </w:tblPr>
      <w:tblGrid>
        <w:gridCol w:w="1621"/>
        <w:gridCol w:w="1424"/>
        <w:gridCol w:w="1440"/>
        <w:gridCol w:w="109"/>
        <w:gridCol w:w="109"/>
        <w:gridCol w:w="109"/>
        <w:gridCol w:w="203"/>
        <w:gridCol w:w="203"/>
        <w:gridCol w:w="156"/>
        <w:gridCol w:w="109"/>
        <w:gridCol w:w="109"/>
        <w:gridCol w:w="109"/>
        <w:gridCol w:w="203"/>
        <w:gridCol w:w="203"/>
        <w:gridCol w:w="109"/>
        <w:gridCol w:w="109"/>
        <w:gridCol w:w="109"/>
        <w:gridCol w:w="109"/>
        <w:gridCol w:w="203"/>
        <w:gridCol w:w="203"/>
        <w:gridCol w:w="213"/>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13.Employee Benefit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policy is to match employee contributions up to certain overall limits. The Company made matching contributions of $4.2 million, $4.8 million and $4.3 million during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tbl>
      <w:tblPr>
        <w:tblW w:w="5264" w:type="dxa"/>
        <w:jc w:val="center"/>
        <w:tblInd w:w="0" w:type="dxa"/>
        <w:tblLayout w:type="fixed"/>
        <w:tblCellMar>
          <w:top w:w="28" w:type="dxa"/>
          <w:left w:w="28" w:type="dxa"/>
          <w:bottom w:w="28" w:type="dxa"/>
          <w:right w:w="28" w:type="dxa"/>
        </w:tblCellMar>
      </w:tblPr>
      <w:tblGrid>
        <w:gridCol w:w="1685"/>
        <w:gridCol w:w="1481"/>
        <w:gridCol w:w="2098"/>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 AND SUBSIDIARIES</w:t>
            </w:r>
          </w:p>
        </w:tc>
      </w:tr>
      <w:tr>
        <w:trPr/>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r>
        <w:trPr/>
        <w:tc>
          <w:tcPr>
            <w:tcW w:w="5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both"/>
              <w:rPr/>
            </w:pPr>
            <w:hyperlink w:anchor="ief073f9aeeec489782e913f24058c024_7">
              <w:r>
                <w:rPr>
                  <w:rStyle w:val="InternetLink"/>
                  <w:rFonts w:ascii="Times New Roman;sans-serif" w:hAnsi="Times New Roman;sans-serif"/>
                  <w:b/>
                  <w:color w:val="0000FF"/>
                  <w:sz w:val="20"/>
                  <w:u w:val="single"/>
                </w:rPr>
                <w:t>Table of Contents</w:t>
              </w:r>
            </w:hyperlink>
          </w:p>
        </w:tc>
      </w:tr>
    </w:tbl>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14.Restructuring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30, 2024, the Company committed to a restructuring plan, effective August 1, 2024, intended to reduce the Company’s operating expenses and better position the Company to execute its long-term strategic initiatives (the Restructuring Plan). The Restructuring Plan was substantially completed during 2024, and reduced the size of the Company’s workforce by approximately 15% of its full-time employees, as compared to its headcount as of December 31, 2023. The Company incurred a pre-tax restructuring charge of $9.0 million in 2024 in connection with the Restructuring Plan, which primarily consisted of severance payments, stock-based compensation, employee benefits, and related expenses for impacted employees, as well as contract termination costs, and is presented in the consolidated statement of operations as $5.8 million of research and development expenses, $2.0 million of sales and marketing expenses and $1.2 million of general and administrative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restructuring reserve, which is included in accrued expenses and other current liabilities on the consolidated balance sheet, are as follows:</w:t>
      </w:r>
    </w:p>
    <w:tbl>
      <w:tblPr>
        <w:tblW w:w="3782" w:type="dxa"/>
        <w:jc w:val="left"/>
        <w:tblInd w:w="0" w:type="dxa"/>
        <w:tblLayout w:type="fixed"/>
        <w:tblCellMar>
          <w:top w:w="28" w:type="dxa"/>
          <w:left w:w="28" w:type="dxa"/>
          <w:bottom w:w="28" w:type="dxa"/>
          <w:right w:w="28" w:type="dxa"/>
        </w:tblCellMar>
      </w:tblPr>
      <w:tblGrid>
        <w:gridCol w:w="970"/>
        <w:gridCol w:w="852"/>
        <w:gridCol w:w="862"/>
        <w:gridCol w:w="109"/>
        <w:gridCol w:w="109"/>
        <w:gridCol w:w="109"/>
        <w:gridCol w:w="211"/>
        <w:gridCol w:w="40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180"/>
        <w:ind w:left="0" w:right="0" w:firstLine="360"/>
        <w:jc w:val="both"/>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with the participation of the Company’s Chief Executive Officer and Chief Financial Officer, has evaluated the effectiveness of the Company’s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including the Company’s Chief Executive Officer and Chief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2024.</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on the Company’s internal control over financial reporting from the Company’s independent registered public accounting firm due to the Company’s status as an “emerging growth company” under the JOBS Act.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identified in connection with the evaluation required by Rules 13a-15(d) and 15d-15(d) of the Exchange Act that occurred during the quarter ended December 31, 2024 that have materially affected, or are reasonably likely to materially affect, the Company’s internal control over financial reporting.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including the Company’s Chief Executive Officer and Chief Financial Officer, believes that the Company’s disclosure controls and procedures and internal control over financial reporting are designed to provide reasonable assurance of achieving their objectives and are effective at the reasonable assurance level. However, management does not expect that the Company’s disclosure controls and procedures or the Company’s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180"/>
        <w:ind w:left="0" w:right="0" w:firstLine="360"/>
        <w:jc w:val="both"/>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9B. Other Information.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2024, none of our directors or officers (as defined in Rule 16a-1 of the Exchange Act) adopted, modified or terminated a Rule 10b5-1 trading arrangement or a non-Rule 10b5-1 trading arrangement (as such terms are defined under Item 408 of Regulation S-K), except as noted below.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2023, Jennifer Ceran, a member of our Board of Directors, adopted a trading plan that was intended to satisfy the affirmative defense conditions of Rule 10b5-1 of the Exchange Act as currently in effect (the Ceran Trading Plan). The Ceran Trading Plan terminated on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20"/>
        <w:jc w:val="center"/>
        <w:rPr>
          <w:rFonts w:ascii="Times New Roman;sans-serif" w:hAnsi="Times New Roman;sans-serif"/>
          <w:b/>
          <w:color w:val="000000"/>
          <w:sz w:val="24"/>
        </w:rPr>
      </w:pPr>
      <w:r>
        <w:rPr>
          <w:rFonts w:ascii="Times New Roman;sans-serif" w:hAnsi="Times New Roman;sans-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about aggregate fees billed to us by our principal accountant, Deloitte &amp; Touche LLP (PCAOB ID No. 34) is incorporated by reference to the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180"/>
        <w:ind w:left="0" w:right="0" w:firstLine="360"/>
        <w:jc w:val="both"/>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120"/>
        <w:jc w:val="center"/>
        <w:rPr>
          <w:rFonts w:ascii="Times New Roman;sans-serif" w:hAnsi="Times New Roman;sans-serif"/>
          <w:b/>
          <w:color w:val="000000"/>
          <w:sz w:val="24"/>
        </w:rPr>
      </w:pPr>
      <w:r>
        <w:rPr>
          <w:rFonts w:ascii="Times New Roman;sans-serif" w:hAnsi="Times New Roman;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40"/>
        <w:gridCol w:w="2040"/>
        <w:gridCol w:w="2044"/>
        <w:gridCol w:w="109"/>
        <w:gridCol w:w="109"/>
        <w:gridCol w:w="109"/>
        <w:gridCol w:w="889"/>
        <w:gridCol w:w="754"/>
        <w:gridCol w:w="107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Agreement and Plan of Merger and Reorganization, dated June 23, 2022, by and among NerdWallet, Inc., On the Barrelhead, Inc., Bighorn Merger Sub Corp., Bighorn Merger Sub 2, LLC, NerdWallet Compare, Inc. and Fortis Advisors LLC, as the stockholder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June 24,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November 10,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Certificate of Amendment of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Quarterly Report on Form 10-Q filed July 31,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Amended and Restated Bylaws of the Registrant</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3.2 to the Registrant’s Current Report on Form 8-K filed November 10,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Description of Securities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Registrant’s Annual Report on Form 10-K filed March 24,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 xml:space="preserve">Credit Agreement, dated as of September 26, 2023 among NerdWallet, Inc., the subsidiary guarantors from time to time party thereto, JPMorgan Chase Bank, National Association, as Administrative Agent, and the Lenders party thereto, as amended by that First Amendment to Credit Agreement, dated November 1, 2023.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10.8 to the Registrant’s Annual Report on Form 10-K filed February 20,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Sublease Agreement between Yelp Inc. and the Registrant, dated April</w:t>
              </w:r>
            </w:hyperlink>
            <w:r>
              <w:rPr>
                <w:color w:val="000000"/>
              </w:rPr>
              <w:t> </w:t>
            </w:r>
            <w:hyperlink r:id="rId10">
              <w:r>
                <w:rPr>
                  <w:rStyle w:val="InternetLink"/>
                  <w:rFonts w:ascii="Times New Roman;sans-serif" w:hAnsi="Times New Roman;sans-serif"/>
                  <w:b w:val="false"/>
                  <w:color w:val="0000FF"/>
                  <w:sz w:val="20"/>
                  <w:u w:val="single"/>
                </w:rPr>
                <w:t>27, 2021.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10.17 to the Registrant’s Registration Statement on Form S-1 (No. 333-260134) filed October 8,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2012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10.6 to the Registrant’s Registration Statement on Form S-1 (No. 333-260134) filed October 8,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Forms of Stock Option Agreement, Notice of Stock Option Grant, and Exercise Notice under the 2012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10.7 to the Registrant’s Registration Statement on Form S-1 (No. 333-260134) filed October 8,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Forms of Restricted Stock Unit Grant Notice and Restricted Stock Unit Award Agreement under the 2012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10.8 to the Registrant’s Registration Statement on Form S-1 (No. 333-260134) filed October 8,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2021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99.1 to the Registrant’s Registration Statement on Form S-8 (No. 333-265197) filed May 25,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Forms of Notice of Stock Option Grant, Stock Option Agreement, and Exercise Notice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10.10 to the Registrant’s Registration Statement on Form S-1 (No. 333-260134) filed October 26,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Form of Restricted Stock Unit Grant Notice and Award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10.11 to the Registrant’s Registration Statement on Form S-1 (No. 333-260134) filed October 26,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Form of PSU Agreement with Change of Control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10.1 to the Registrant’s Current Report on Form 8-K (001-40994) filed March 17, 2023 </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2022 Inducement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99.1 to the Registrant’s Registration Statement on Form S-8 (No. 333-266087) filed July 11,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39"/>
        <w:gridCol w:w="241"/>
        <w:gridCol w:w="109"/>
        <w:gridCol w:w="109"/>
        <w:gridCol w:w="109"/>
        <w:gridCol w:w="1766"/>
        <w:gridCol w:w="1766"/>
        <w:gridCol w:w="1769"/>
        <w:gridCol w:w="109"/>
        <w:gridCol w:w="109"/>
        <w:gridCol w:w="109"/>
        <w:gridCol w:w="1074"/>
        <w:gridCol w:w="999"/>
        <w:gridCol w:w="1426"/>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 xml:space="preserve">Form of RSU Inducement Award Agreement for OTB Founders under the 2022 Inducement Equity Incentive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99.2 to the Registrant’s Registration Statement on Form S-8 (No. 333-266087) filed July 11, 2022</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 of RSU Inducement Award Agreement for Other Employees under the 2022 Inducement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99.3 to the Registrant’s Registration Statement on Form S-8 (No. 333-266087) filed July 11, 2022</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10.12 to the Registrant’s Registration Statement on Form S-1 (No. 333-260134) filed October 26, 2021</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Form of Indemnification Agreement entered into by and between the Registrant and each director and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10.13 to the Registrant’s Registration Statement on Form S-1 (No. 333-260134) filed October 8, 2021</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ans-serif" w:hAnsi="Times New Roman;sans-serif"/>
                  <w:b w:val="false"/>
                  <w:color w:val="0000FF"/>
                  <w:sz w:val="20"/>
                  <w:u w:val="single"/>
                </w:rPr>
                <w:t xml:space="preserve">Amended and Restated Change of Control and Severance Policy.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10.2 to the Registrant’s Current Report on Form 8-K (001-40994) filed March 17, 2023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Offer Letter, by and between Tim Chen and the Registrant, dated June 25,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10.21 to the Registrant’s Registration Statement on Form S-1 (No. 333-260134) filed October 8, 2021</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Offer Letter, by and between Lauren StClair and the Registrant, dated November 23,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10.17 to the Registrant’s Registration Statement on Form S-1 (No. 333-260134) filed October 8, 2021</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Form of Performance Stock Option Agreement under the 2021 Equity Incentive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Quarterly Report on Form 10-Q filed April 25,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20"/>
                  <w:u w:val="single"/>
                </w:rPr>
                <w:t>Limited Consent and Second Amendment to Credit Agreement dated October 1, 2024, by and among NerdWallet, Inc.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Quarterly Report on Form 10-Q filed October 29,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insidertradingp.htm">
              <w:r>
                <w:rPr>
                  <w:rStyle w:val="InternetLink"/>
                  <w:rFonts w:ascii="Times New Roman;sans-serif" w:hAnsi="Times New Roman;sans-serif"/>
                  <w:b w:val="false"/>
                  <w:color w:val="0000FF"/>
                  <w:sz w:val="20"/>
                  <w:u w:val="single"/>
                </w:rPr>
                <w:t>Insider Trading Policy.</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21.1 to the Registrant’s Annual Report on Form 10-K filed March 24, 2022</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auditorconsent.htm">
              <w:r>
                <w:rPr>
                  <w:rStyle w:val="InternetLink"/>
                  <w:rFonts w:ascii="Times New Roman;sans-serif" w:hAnsi="Times New Roman;sans-serif"/>
                  <w:b w:val="false"/>
                  <w:color w:val="0000FF"/>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302certificatio.htm">
              <w:r>
                <w:rPr>
                  <w:rStyle w:val="InternetLink"/>
                  <w:rFonts w:ascii="Times New Roman;sans-serif" w:hAnsi="Times New Roman;sans-serif"/>
                  <w:b w:val="false"/>
                  <w:color w:val="000080"/>
                  <w:sz w:val="20"/>
                  <w:u w:val="single"/>
                </w:rPr>
                <w:t>Certification of Principal Executive Officer pursuant to Exchange Act Rules</w:t>
              </w:r>
            </w:hyperlink>
            <w:hyperlink w:anchor="exhibit311-302certificatio.htm">
              <w:r>
                <w:rPr>
                  <w:rStyle w:val="InternetLink"/>
                  <w:rFonts w:ascii="Times New Roman;sans-serif" w:hAnsi="Times New Roman;sans-serif"/>
                  <w:b w:val="false"/>
                  <w:color w:val="000080"/>
                  <w:sz w:val="20"/>
                  <w:u w:val="single"/>
                </w:rPr>
                <w:t> </w:t>
              </w:r>
            </w:hyperlink>
            <w:hyperlink w:anchor="exhibit311-302certificatio.htm">
              <w:r>
                <w:rPr>
                  <w:rStyle w:val="InternetLink"/>
                  <w:rFonts w:ascii="Times New Roman;sans-serif" w:hAnsi="Times New Roman;sans-serif"/>
                  <w:b w:val="false"/>
                  <w:color w:val="000080"/>
                  <w:sz w:val="20"/>
                  <w:u w:val="single"/>
                </w:rPr>
                <w:t>13a-14(a) and 15d-14(a), as adopted pursuant to Section</w:t>
              </w:r>
            </w:hyperlink>
            <w:hyperlink w:anchor="exhibit311-302certificatio.htm">
              <w:r>
                <w:rPr>
                  <w:rStyle w:val="InternetLink"/>
                  <w:rFonts w:ascii="Times New Roman;sans-serif" w:hAnsi="Times New Roman;sans-serif"/>
                  <w:b w:val="false"/>
                  <w:color w:val="000080"/>
                  <w:sz w:val="20"/>
                  <w:u w:val="single"/>
                </w:rPr>
                <w:t> </w:t>
              </w:r>
            </w:hyperlink>
            <w:hyperlink w:anchor="exhibit311-302certificatio.htm">
              <w:r>
                <w:rPr>
                  <w:rStyle w:val="InternetLink"/>
                  <w:rFonts w:ascii="Times New Roman;sans-serif" w:hAnsi="Times New Roman;sans-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302certificatio.htm">
              <w:r>
                <w:rPr>
                  <w:rStyle w:val="InternetLink"/>
                  <w:rFonts w:ascii="Times New Roman;sans-serif" w:hAnsi="Times New Roman;sans-serif"/>
                  <w:b w:val="false"/>
                  <w:color w:val="000080"/>
                  <w:sz w:val="20"/>
                  <w:u w:val="single"/>
                </w:rPr>
                <w:t>Certification of Principal Financial Officer pursuant to Exchange Act Rules</w:t>
              </w:r>
            </w:hyperlink>
            <w:hyperlink w:anchor="exhibit312-302certificatio.htm">
              <w:r>
                <w:rPr>
                  <w:rStyle w:val="InternetLink"/>
                  <w:rFonts w:ascii="Times New Roman;sans-serif" w:hAnsi="Times New Roman;sans-serif"/>
                  <w:b w:val="false"/>
                  <w:color w:val="000080"/>
                  <w:sz w:val="20"/>
                  <w:u w:val="single"/>
                </w:rPr>
                <w:t> </w:t>
              </w:r>
            </w:hyperlink>
            <w:hyperlink w:anchor="exhibit312-302certificatio.htm">
              <w:r>
                <w:rPr>
                  <w:rStyle w:val="InternetLink"/>
                  <w:rFonts w:ascii="Times New Roman;sans-serif" w:hAnsi="Times New Roman;sans-serif"/>
                  <w:b w:val="false"/>
                  <w:color w:val="000080"/>
                  <w:sz w:val="20"/>
                  <w:u w:val="single"/>
                </w:rPr>
                <w:t>13a-14(a) and 15d-14(a), as adopted pursuant to Section</w:t>
              </w:r>
            </w:hyperlink>
            <w:hyperlink w:anchor="exhibit312-302certificatio.htm">
              <w:r>
                <w:rPr>
                  <w:rStyle w:val="InternetLink"/>
                  <w:rFonts w:ascii="Times New Roman;sans-serif" w:hAnsi="Times New Roman;sans-serif"/>
                  <w:b w:val="false"/>
                  <w:color w:val="000080"/>
                  <w:sz w:val="20"/>
                  <w:u w:val="single"/>
                </w:rPr>
                <w:t> </w:t>
              </w:r>
            </w:hyperlink>
            <w:hyperlink w:anchor="exhibit312-302certificatio.htm">
              <w:r>
                <w:rPr>
                  <w:rStyle w:val="InternetLink"/>
                  <w:rFonts w:ascii="Times New Roman;sans-serif" w:hAnsi="Times New Roman;sans-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404certificati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404certificatio.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FF"/>
                  <w:sz w:val="20"/>
                  <w:u w:val="single"/>
                </w:rPr>
                <w:t>Compensation Recovery Policy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97.1 to the Registrant’s Annual Report on Form 10-K filed February 20,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Schema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ef073f9aeeec489782e913f24058c024_7">
        <w:r>
          <w:rPr>
            <w:rStyle w:val="InternetLink"/>
            <w:rFonts w:ascii="Times New Roman;sans-serif" w:hAnsi="Times New Roman;sans-serif"/>
            <w:b w:val="false"/>
            <w:color w:val="0000FF"/>
            <w:sz w:val="20"/>
            <w:u w:val="single"/>
          </w:rPr>
          <w:t>Table of Contents</w:t>
        </w:r>
      </w:hyperlink>
    </w:p>
    <w:tbl>
      <w:tblPr>
        <w:tblW w:w="9819"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2508"/>
        <w:gridCol w:w="2508"/>
        <w:gridCol w:w="2513"/>
        <w:gridCol w:w="109"/>
        <w:gridCol w:w="109"/>
        <w:gridCol w:w="109"/>
        <w:gridCol w:w="233"/>
        <w:gridCol w:w="233"/>
        <w:gridCol w:w="330"/>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w:t>
      </w:r>
      <w:r>
        <w:rPr>
          <w:rFonts w:ascii="Times New Roman;sans-serif" w:hAnsi="Times New Roman;sans-serif"/>
          <w:b w:val="false"/>
          <w:color w:val="000000"/>
          <w:sz w:val="16"/>
        </w:rPr>
        <w:t>The certifications attached as Exhibits 32.1 and 32.2 that accompany this Annual Report on Form 10-K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Financial Statement Schedules.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financial statement schedules are omitted because the information required to be set forth therein is not applicable or is shown in the consolidated financial statements or the notes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180"/>
        <w:ind w:left="0" w:right="0" w:firstLine="360"/>
        <w:jc w:val="both"/>
        <w:rPr/>
      </w:pPr>
      <w:hyperlink w:anchor="ief073f9aeeec489782e913f24058c02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 on February 19, 2025.</w:t>
      </w:r>
    </w:p>
    <w:tbl>
      <w:tblPr>
        <w:tblW w:w="3362" w:type="dxa"/>
        <w:jc w:val="center"/>
        <w:tblInd w:w="0" w:type="dxa"/>
        <w:tblLayout w:type="fixed"/>
        <w:tblCellMar>
          <w:top w:w="28" w:type="dxa"/>
          <w:left w:w="28" w:type="dxa"/>
          <w:bottom w:w="28" w:type="dxa"/>
          <w:right w:w="28" w:type="dxa"/>
        </w:tblCellMar>
      </w:tblPr>
      <w:tblGrid>
        <w:gridCol w:w="124"/>
        <w:gridCol w:w="109"/>
        <w:gridCol w:w="109"/>
        <w:gridCol w:w="317"/>
        <w:gridCol w:w="317"/>
        <w:gridCol w:w="317"/>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18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by the following persons on behalf of the registrant and in the capacities and on the dates indicated.</w:t>
      </w:r>
    </w:p>
    <w:tbl>
      <w:tblPr>
        <w:tblW w:w="7044" w:type="dxa"/>
        <w:jc w:val="center"/>
        <w:tblInd w:w="0" w:type="dxa"/>
        <w:tblLayout w:type="fixed"/>
        <w:tblCellMar>
          <w:top w:w="28" w:type="dxa"/>
          <w:left w:w="28" w:type="dxa"/>
          <w:bottom w:w="28" w:type="dxa"/>
          <w:right w:w="28" w:type="dxa"/>
        </w:tblCellMar>
      </w:tblPr>
      <w:tblGrid>
        <w:gridCol w:w="657"/>
        <w:gridCol w:w="577"/>
        <w:gridCol w:w="581"/>
        <w:gridCol w:w="109"/>
        <w:gridCol w:w="109"/>
        <w:gridCol w:w="109"/>
        <w:gridCol w:w="976"/>
        <w:gridCol w:w="976"/>
        <w:gridCol w:w="988"/>
        <w:gridCol w:w="109"/>
        <w:gridCol w:w="109"/>
        <w:gridCol w:w="109"/>
        <w:gridCol w:w="477"/>
        <w:gridCol w:w="477"/>
        <w:gridCol w:w="681"/>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w:t>
            </w:r>
          </w:p>
          <w:p>
            <w:pPr>
              <w:pStyle w:val="TableContents"/>
              <w:bidi w:val="0"/>
              <w:spacing w:lineRule="auto" w:line="276" w:before="0" w:after="0"/>
              <w:jc w:val="center"/>
              <w:rPr/>
            </w:pP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Lauren StClair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Jennifer Ceran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Jennifer Ceran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Lynne Laube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Lynne Laube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McBride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Kenneth McBride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Maurice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r>
      <w:tr>
        <w:trPr/>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Maurice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NerdWallet, Inc.</w: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Version 1.0 </w:t>
      </w:r>
    </w:p>
    <w:p>
      <w:pPr>
        <w:pStyle w:val="TextBody"/>
        <w:bidi w:val="0"/>
        <w:spacing w:lineRule="auto" w:line="556" w:before="0" w:after="0"/>
        <w:jc w:val="center"/>
        <w:rPr>
          <w:rFonts w:ascii="Times New Roman;sans-serif" w:hAnsi="Times New Roman;sans-serif"/>
          <w:b/>
          <w:color w:val="000000"/>
          <w:sz w:val="22"/>
        </w:rPr>
      </w:pPr>
      <w:r>
        <w:rPr>
          <w:rFonts w:ascii="Times New Roman;sans-serif" w:hAnsi="Times New Roman;sans-serif"/>
          <w:b/>
          <w:color w:val="000000"/>
          <w:sz w:val="22"/>
        </w:rPr>
        <w:t>(adopted September 29, 2021)</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Introduction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During the course of your relationship with NerdWallet, Inc. (“</w:t>
      </w:r>
      <w:r>
        <w:rPr>
          <w:rFonts w:ascii="Times New Roman;sans-serif" w:hAnsi="Times New Roman;sans-serif"/>
          <w:b/>
          <w:color w:val="000000"/>
          <w:sz w:val="22"/>
        </w:rPr>
        <w:t>NerdWallet</w:t>
      </w:r>
      <w:r>
        <w:rPr>
          <w:color w:val="000000"/>
        </w:rPr>
        <w:t>”</w:t>
      </w:r>
      <w:r>
        <w:rPr>
          <w:rFonts w:ascii="Times New Roman;sans-serif" w:hAnsi="Times New Roman;sans-serif"/>
          <w:b w:val="false"/>
          <w:color w:val="000000"/>
          <w:sz w:val="22"/>
        </w:rPr>
        <w:t>), you may receive material information that is not yet publicly available (“</w:t>
      </w:r>
      <w:r>
        <w:rPr>
          <w:rFonts w:ascii="Times New Roman;sans-serif" w:hAnsi="Times New Roman;sans-serif"/>
          <w:b/>
          <w:i/>
          <w:color w:val="000000"/>
          <w:sz w:val="22"/>
        </w:rPr>
        <w:t>material nonpublic information</w:t>
      </w:r>
      <w:r>
        <w:rPr>
          <w:color w:val="000000"/>
        </w:rPr>
        <w:t>”</w:t>
      </w:r>
      <w:r>
        <w:rPr>
          <w:rFonts w:ascii="Times New Roman;sans-serif" w:hAnsi="Times New Roman;sans-serif"/>
          <w:b w:val="false"/>
          <w:color w:val="000000"/>
          <w:sz w:val="22"/>
        </w:rPr>
        <w:t>) about NerdWallet or other publicly traded companies that NerdWallet has business relationships with. Material nonpublic information may give you, or someone you pass that information on to, an advantage over others when deciding whether to buy, sell or otherwise transact in NerdWallet’s securities or the securities of another publicly traded company. This policy sets forth guidelines with respect to transactions in NerdWallet securities by our employees, directors and consultants who may become aware of material non-public information (“</w:t>
      </w:r>
      <w:r>
        <w:rPr>
          <w:rFonts w:ascii="Times New Roman;sans-serif" w:hAnsi="Times New Roman;sans-serif"/>
          <w:b/>
          <w:i/>
          <w:color w:val="000000"/>
          <w:sz w:val="22"/>
        </w:rPr>
        <w:t>designated consultants</w:t>
      </w:r>
      <w:r>
        <w:rPr>
          <w:color w:val="000000"/>
        </w:rPr>
        <w:t>”</w:t>
      </w:r>
      <w:r>
        <w:rPr>
          <w:rFonts w:ascii="Times New Roman;sans-serif" w:hAnsi="Times New Roman;sans-serif"/>
          <w:b w:val="false"/>
          <w:color w:val="000000"/>
          <w:sz w:val="22"/>
        </w:rPr>
        <w:t>) and the other persons subject to this policy as described below.</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Statement of Policy</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It is the policy of NerdWallet that an employee, director or designated consultant of NerdWallet (or any other person subject to this policy) who is aware of material nonpublic information relating to NerdWallet </w:t>
      </w:r>
      <w:r>
        <w:rPr>
          <w:rFonts w:ascii="Times New Roman;sans-serif" w:hAnsi="Times New Roman;sans-serif"/>
          <w:b/>
          <w:color w:val="000000"/>
          <w:sz w:val="22"/>
        </w:rPr>
        <w:t>may not</w:t>
      </w:r>
      <w:r>
        <w:rPr>
          <w:rFonts w:ascii="Times New Roman;sans-serif" w:hAnsi="Times New Roman;sans-serif"/>
          <w:b w:val="false"/>
          <w:color w:val="000000"/>
          <w:sz w:val="22"/>
        </w:rPr>
        <w:t xml:space="preserve">, directly or indirectly: </w:t>
      </w:r>
    </w:p>
    <w:p>
      <w:pPr>
        <w:pStyle w:val="TextBody"/>
        <w:bidi w:val="0"/>
        <w:spacing w:lineRule="auto" w:line="288"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    engage in any transactions in NerdWallet’s securities, except as otherwise specified under the heading “Exceptions to this Policy” below; </w:t>
      </w:r>
    </w:p>
    <w:p>
      <w:pPr>
        <w:pStyle w:val="TextBody"/>
        <w:bidi w:val="0"/>
        <w:spacing w:lineRule="auto" w:line="288"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    recommend the purchase or sale of any NerdWallet’s securities;</w:t>
      </w:r>
    </w:p>
    <w:p>
      <w:pPr>
        <w:pStyle w:val="TextBody"/>
        <w:bidi w:val="0"/>
        <w:spacing w:lineRule="auto" w:line="288"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disclose material nonpublic information to persons within NerdWallet whose jobs do not require them to have that information, or outside of NerdWallet to other persons, such as family, friends, business associates and investors, unless the disclosure is made in accordance with NerdWallet’s policies regarding the protection or authorized external disclosure of information regarding NerdWallet; or </w:t>
      </w:r>
    </w:p>
    <w:p>
      <w:pPr>
        <w:pStyle w:val="TextBody"/>
        <w:bidi w:val="0"/>
        <w:spacing w:lineRule="auto" w:line="288"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    assist anyone engaged in the above activities.</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The prohibition against insider trading is absolute. It applies </w:t>
      </w:r>
      <w:r>
        <w:rPr>
          <w:rFonts w:ascii="Times New Roman;sans-serif" w:hAnsi="Times New Roman;sans-serif"/>
          <w:b/>
          <w:i/>
          <w:color w:val="000000"/>
          <w:sz w:val="22"/>
        </w:rPr>
        <w:t>even if</w:t>
      </w:r>
      <w:r>
        <w:rPr>
          <w:color w:val="000000"/>
        </w:rPr>
        <w:t xml:space="preserve"> </w:t>
      </w:r>
      <w:r>
        <w:rPr>
          <w:rFonts w:ascii="Times New Roman;sans-serif" w:hAnsi="Times New Roman;sans-serif"/>
          <w:b w:val="false"/>
          <w:color w:val="000000"/>
          <w:sz w:val="22"/>
        </w:rPr>
        <w:t>the decision to trade is not based on such material nonpublic information</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It also applies to transactions that may be necessary or justifiable for independent reasons (such as the need to raise money for an emergency expenditure). All that matters is whether you are aware of </w:t>
      </w:r>
      <w:r>
        <w:rPr>
          <w:rFonts w:ascii="Times New Roman;sans-serif" w:hAnsi="Times New Roman;sans-serif"/>
          <w:b/>
          <w:color w:val="000000"/>
          <w:sz w:val="22"/>
        </w:rPr>
        <w:t>any</w:t>
      </w:r>
      <w:r>
        <w:rPr>
          <w:color w:val="000000"/>
        </w:rPr>
        <w:t xml:space="preserve"> </w:t>
      </w:r>
      <w:r>
        <w:rPr>
          <w:rFonts w:ascii="Times New Roman;sans-serif" w:hAnsi="Times New Roman;sans-serif"/>
          <w:b w:val="false"/>
          <w:color w:val="000000"/>
          <w:sz w:val="22"/>
        </w:rPr>
        <w:t xml:space="preserve">material nonpublic information relating to NerdWallet at the time of the transaction (whether a “small” or “large” transaction). </w:t>
      </w:r>
    </w:p>
    <w:p>
      <w:pPr>
        <w:pStyle w:val="TextBody"/>
        <w:bidi w:val="0"/>
        <w:spacing w:lineRule="auto" w:line="288"/>
        <w:jc w:val="both"/>
        <w:rPr/>
      </w:pPr>
      <w:r>
        <w:rPr>
          <w:rFonts w:ascii="Arial;sans-serif" w:hAnsi="Arial;sans-serif"/>
          <w:b w:val="false"/>
          <w:color w:val="000000"/>
          <w:sz w:val="13"/>
        </w:rPr>
        <w:t>1</w:t>
      </w:r>
      <w:r>
        <w:rPr>
          <w:color w:val="000000"/>
        </w:rPr>
        <w:t xml:space="preserve"> </w:t>
      </w:r>
      <w:r>
        <w:rPr>
          <w:rFonts w:ascii="Times New Roman;sans-serif" w:hAnsi="Times New Roman;sans-serif"/>
          <w:b w:val="false"/>
          <w:color w:val="000000"/>
          <w:sz w:val="22"/>
        </w:rPr>
        <w:t>In some circumstances, you may need to forgo a planned transaction, even if doing so may cause you to suffer economic loss, and/or even if you planned it before becoming aware of the material nonpublic information. So, even if you believe you may suffer an economic loss or sacrifice an anticipated profit by waiting to trade, you must wait.</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U.S. federal securities laws do not recognize any mitigating circumstances to insider trading. Furthermore, as NerdWallet’s brand and reputation are built on maintaining higher standards of conduct, all directors and employees must adhere to this policy and avoid even the appearance of an improper transaction. </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It is also important to note that the laws prohibiting insider trading are not limited to trading by the insider alone; advising others to trade based on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NerdWallet that no employee, director or designated consultant of NerdWallet (or any other person subject to this policy) may either (a) recommend to another person that they buy, hold or sell NerdWallet’s securities </w:t>
      </w:r>
      <w:r>
        <w:rPr>
          <w:rFonts w:ascii="Times New Roman;sans-serif" w:hAnsi="Times New Roman;sans-serif"/>
          <w:b/>
          <w:color w:val="000000"/>
          <w:sz w:val="22"/>
        </w:rPr>
        <w:t>at any time</w:t>
      </w:r>
      <w:r>
        <w:rPr>
          <w:color w:val="000000"/>
        </w:rPr>
        <w:t xml:space="preserve"> </w:t>
      </w:r>
      <w:r>
        <w:rPr>
          <w:rFonts w:ascii="Times New Roman;sans-serif" w:hAnsi="Times New Roman;sans-serif"/>
          <w:b w:val="false"/>
          <w:color w:val="000000"/>
          <w:sz w:val="22"/>
        </w:rPr>
        <w:t xml:space="preserve">or (b) disclose material nonpublic information to persons within NerdWallet whose jobs do not require them to have that information, or outside of NerdWallet to other persons (unless the disclosure is made in accordance with NerdWallet’s policies regarding the protection or authorized external disclosure of information regarding NerdWallet). </w:t>
      </w:r>
    </w:p>
    <w:p>
      <w:pPr>
        <w:pStyle w:val="TextBody"/>
        <w:bidi w:val="0"/>
        <w:spacing w:lineRule="auto" w:line="288" w:before="0" w:after="240"/>
        <w:ind w:left="0" w:right="0" w:firstLine="45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it is the policy of NerdWallet that no employee, director or designated consultant of NerdWallet (or any other person subject to this policy) who, in the course of working for NerdWallet, learns of or is otherwise aware of material nonpublic information about another publicly traded company with which NerdWallet does business, including NerdWallet’s financial services partners, may trade in that company’s securities until the information becomes public or is no longer material. </w:t>
      </w:r>
    </w:p>
    <w:p>
      <w:pPr>
        <w:pStyle w:val="TextBody"/>
        <w:bidi w:val="0"/>
        <w:spacing w:lineRule="auto" w:line="288" w:before="0" w:after="240"/>
        <w:ind w:left="0" w:right="0" w:firstLine="45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exceptions to this policy, except as specifically noted above or below.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Transactions Subject to this Policy</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This policy applies to all transactions in securities issued by NerdWallet, as well as derivative securities that are not issued by NerdWallet, such as exchange-traded put or call options or swaps relating to NerdWallet’s securities. Accordingly, for purposes of this policy, the terms “</w:t>
      </w:r>
      <w:r>
        <w:rPr>
          <w:rFonts w:ascii="Times New Roman;sans-serif" w:hAnsi="Times New Roman;sans-serif"/>
          <w:b/>
          <w:i/>
          <w:color w:val="000000"/>
          <w:sz w:val="22"/>
        </w:rPr>
        <w:t>trade</w:t>
      </w:r>
      <w:r>
        <w:rPr>
          <w:rFonts w:ascii="Times New Roman;sans-serif" w:hAnsi="Times New Roman;sans-serif"/>
          <w:b w:val="false"/>
          <w:color w:val="000000"/>
          <w:sz w:val="22"/>
        </w:rPr>
        <w:t>,” “</w:t>
      </w:r>
      <w:r>
        <w:rPr>
          <w:rFonts w:ascii="Times New Roman;sans-serif" w:hAnsi="Times New Roman;sans-serif"/>
          <w:b/>
          <w:i/>
          <w:color w:val="000000"/>
          <w:sz w:val="22"/>
        </w:rPr>
        <w:t>trading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transactions</w:t>
      </w:r>
      <w:r>
        <w:rPr>
          <w:color w:val="000000"/>
        </w:rPr>
        <w:t xml:space="preserve">” </w:t>
      </w:r>
      <w:r>
        <w:rPr>
          <w:rFonts w:ascii="Times New Roman;sans-serif" w:hAnsi="Times New Roman;sans-serif"/>
          <w:b w:val="false"/>
          <w:color w:val="000000"/>
          <w:sz w:val="22"/>
        </w:rPr>
        <w:t xml:space="preserve">include not only purchases and sales of NerdWallet’s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Persons Subject to this Policy</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This policy applies to you and all other employees, directors and designated consultants of NerdWallet and its subsidiaries. This policy also applies to members of your immediate family, persons with whom you share a household, persons who are your economic dependents and any other individuals or entities whose transactions in securities you influence, direct or control (including, e.g., a venture or other investment fund, </w:t>
      </w:r>
      <w:r>
        <w:rPr>
          <w:rFonts w:ascii="Times New Roman;sans-serif" w:hAnsi="Times New Roman;sans-serif"/>
          <w:b w:val="false"/>
          <w:color w:val="000000"/>
          <w:sz w:val="22"/>
          <w:u w:val="single"/>
        </w:rPr>
        <w:t>if</w:t>
      </w:r>
      <w:r>
        <w:rPr>
          <w:color w:val="000000"/>
        </w:rPr>
        <w:t xml:space="preserve"> </w:t>
      </w:r>
      <w:r>
        <w:rPr>
          <w:rFonts w:ascii="Times New Roman;sans-serif" w:hAnsi="Times New Roman;sans-serif"/>
          <w:b w:val="false"/>
          <w:color w:val="000000"/>
          <w:sz w:val="22"/>
        </w:rPr>
        <w:t>you influence, direct or control transactions by the fund). The foregoing persons who are deemed subject to this policy are referred to in this policy as “</w:t>
      </w:r>
      <w:r>
        <w:rPr>
          <w:rFonts w:ascii="Times New Roman;sans-serif" w:hAnsi="Times New Roman;sans-serif"/>
          <w:b/>
          <w:i/>
          <w:color w:val="000000"/>
          <w:sz w:val="22"/>
        </w:rPr>
        <w:t>Related Persons</w:t>
      </w:r>
      <w:r>
        <w:rPr>
          <w:rFonts w:ascii="Times New Roman;sans-serif" w:hAnsi="Times New Roman;sans-serif"/>
          <w:b w:val="false"/>
          <w:color w:val="000000"/>
          <w:sz w:val="22"/>
        </w:rPr>
        <w:t xml:space="preserve">.” You are responsible for making sure that your Related Persons comply with this policy.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03"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Material Nonpublic Information</w:t>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Material information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It is not always easy to figure out whether you are aware of material nonpublic information. But there is one important factor to determine whether nonpublic information you know about a public company is material: </w:t>
      </w:r>
      <w:r>
        <w:rPr>
          <w:rFonts w:ascii="Times New Roman;sans-serif" w:hAnsi="Times New Roman;sans-serif"/>
          <w:b/>
          <w:i/>
          <w:color w:val="000000"/>
          <w:sz w:val="22"/>
        </w:rPr>
        <w:t>whether the information could be expected to affect the market price of that company’s securities or to be considered important by investors who are considering trading that company’s securities</w:t>
      </w:r>
      <w:r>
        <w:rPr>
          <w:rFonts w:ascii="Times New Roman;sans-serif" w:hAnsi="Times New Roman;sans-serif"/>
          <w:b w:val="false"/>
          <w:color w:val="000000"/>
          <w:sz w:val="22"/>
        </w:rPr>
        <w:t>. If the information makes you want to trade, it would probably have the same effect on others</w:t>
      </w:r>
      <w:r>
        <w:rPr>
          <w:rFonts w:ascii="Times New Roman;sans-serif" w:hAnsi="Times New Roman;sans-serif"/>
          <w:b w:val="false"/>
          <w:color w:val="000000"/>
          <w:sz w:val="14"/>
        </w:rPr>
        <w:t>2</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financial results or forecasts;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new products, features or processes;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acquisitions or dispositions of assets, divisions or companies;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public or private sales of debt or equity securities;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 xml:space="preserve">significant new contracts or cancellations;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 xml:space="preserve">stock splits, dividends or changes in dividend policy;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the establishment of a repurchase program for NerdWallet’s securities;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management or control changes;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 xml:space="preserve">employee layoffs;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 xml:space="preserve">a disruption in NerdWallet’s operations or breach or unauthorized access of its property or assets, including its facilities and information technology infrastructure;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tender offers or proxy fights;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accounting restatements or significant write-offs;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litigation or settlements;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impending bankruptcy;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corporate partner relationships;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2"/>
        </w:rPr>
        <w:t>pricing changes or discount policies.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2"/>
        </w:rPr>
      </w:pPr>
      <w:r>
        <w:rPr>
          <w:rFonts w:ascii="Times New Roman;sans-serif" w:hAnsi="Times New Roman;sans-serif"/>
          <w:b/>
          <w:i/>
          <w:color w:val="000000"/>
          <w:sz w:val="22"/>
        </w:rPr>
        <w:t>When information is considered public</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Times New Roman;sans-serif" w:hAnsi="Times New Roman;sans-serif"/>
          <w:b/>
          <w:i/>
          <w:color w:val="000000"/>
          <w:sz w:val="22"/>
        </w:rPr>
        <w:t>SEC</w:t>
      </w:r>
      <w:r>
        <w:rPr>
          <w:color w:val="000000"/>
        </w:rPr>
        <w:t>”</w:t>
      </w:r>
      <w:r>
        <w:rPr>
          <w:rFonts w:ascii="Times New Roman;sans-serif" w:hAnsi="Times New Roman;sans-serif"/>
          <w:b w:val="false"/>
          <w:color w:val="000000"/>
          <w:sz w:val="22"/>
        </w:rPr>
        <w:t xml:space="preserve">),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t>
      </w:r>
    </w:p>
    <w:p>
      <w:pPr>
        <w:pStyle w:val="TextBody"/>
        <w:bidi w:val="0"/>
        <w:spacing w:lineRule="auto" w:line="288" w:before="0" w:after="240"/>
        <w:ind w:left="0" w:right="0" w:firstLine="360"/>
        <w:jc w:val="both"/>
        <w:rPr/>
      </w:pPr>
      <w:r>
        <w:rPr>
          <w:rFonts w:ascii="Arial;sans-serif" w:hAnsi="Arial;sans-serif"/>
          <w:b w:val="false"/>
          <w:color w:val="000000"/>
          <w:sz w:val="13"/>
        </w:rPr>
        <w:t>2</w:t>
      </w:r>
      <w:r>
        <w:rPr>
          <w:color w:val="000000"/>
        </w:rPr>
        <w:t xml:space="preserve"> </w:t>
      </w:r>
      <w:r>
        <w:rPr>
          <w:rFonts w:ascii="Times New Roman;sans-serif" w:hAnsi="Times New Roman;sans-serif"/>
          <w:b w:val="false"/>
          <w:color w:val="000000"/>
          <w:sz w:val="22"/>
        </w:rPr>
        <w:t xml:space="preserve">Important Note: Keep in mind that both positive and negative information can be material.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1155"/>
                <wp:effectExtent l="0" t="0" r="0" b="0"/>
                <wp:wrapNone/>
                <wp:docPr id="104"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Wednesday, then you may execute a transaction in our securities on Monday. Depending on the particular circumstances, NerdWallet may determine that a longer or shorter waiting period should apply to the release of specific material nonpublic information.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Quarterly Trading Blackouts</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Because our workplace culture tends to be open, odds are that the vast majority of our employees, directors and designated consultants will possess material nonpublic information at certain points during the year. To minimize even the appearance of insider trading among our employees, directors and designated consultants we have established “quarterly trading blackout periods” during which all NerdWallet employees, directors, designated consultants and their Related Persons—regardless of whether they are aware of material nonpublic information or not—may not conduct any trades in NerdWallet securities. That means that, except as described in this policy, employees, directors, designated consultants and their Related Persons will be able to trade in NerdWallet securities </w:t>
      </w:r>
      <w:r>
        <w:rPr>
          <w:rFonts w:ascii="Times New Roman;sans-serif" w:hAnsi="Times New Roman;sans-serif"/>
          <w:b w:val="false"/>
          <w:color w:val="000000"/>
          <w:sz w:val="22"/>
          <w:u w:val="single"/>
        </w:rPr>
        <w:t>only</w:t>
      </w:r>
      <w:r>
        <w:rPr>
          <w:color w:val="000000"/>
        </w:rPr>
        <w:t xml:space="preserve"> </w:t>
      </w:r>
      <w:r>
        <w:rPr>
          <w:rFonts w:ascii="Times New Roman;sans-serif" w:hAnsi="Times New Roman;sans-serif"/>
          <w:b w:val="false"/>
          <w:color w:val="000000"/>
          <w:sz w:val="22"/>
        </w:rPr>
        <w:t>during limited open trading window periods that generally will begin after two full trading days have elapsed since the public dissemination of NerdWallet’s annual or quarterly financial results and end at the beginning of the next quarterly trading blackout period.</w:t>
      </w:r>
    </w:p>
    <w:p>
      <w:pPr>
        <w:pStyle w:val="TextBody"/>
        <w:bidi w:val="0"/>
        <w:spacing w:lineRule="auto" w:line="288" w:before="0" w:after="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Of course, even during an open trading window period, you may not (unless an exception applies) conduct any trades in NerdWallet securities if you are otherwise in possession of material nonpublic information.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For purposes of this policy, each “</w:t>
      </w:r>
      <w:r>
        <w:rPr>
          <w:rFonts w:ascii="Times New Roman;sans-serif" w:hAnsi="Times New Roman;sans-serif"/>
          <w:b/>
          <w:i/>
          <w:color w:val="000000"/>
          <w:sz w:val="22"/>
        </w:rPr>
        <w:t>quarterly trading blackout period</w:t>
      </w:r>
      <w:r>
        <w:rPr>
          <w:color w:val="000000"/>
        </w:rPr>
        <w:t xml:space="preserve">” </w:t>
      </w:r>
      <w:r>
        <w:rPr>
          <w:rFonts w:ascii="Times New Roman;sans-serif" w:hAnsi="Times New Roman;sans-serif"/>
          <w:b w:val="false"/>
          <w:color w:val="000000"/>
          <w:sz w:val="22"/>
        </w:rPr>
        <w:t xml:space="preserve">will generally begin at the end of the day that is fourteen days before the end of each fiscal quarter and end after two full trading days have elapsed since the public dissemination of NerdWallet’s financial results for that quarter. Please note that the quarterly trading blackout period may commence early or may be extended if, in the judgment of the Chief Executive Officer, Chief Financial Officer or General Counsel, there exists undisclosed information that would make trades by NerdWallet employees, directors and designated consultants inappropriate. It is important to note that the fact that the quarterly trading blackout period has commenced early or has been extended should be considered material nonpublic information that should not be communicated to any other person. </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NerdWallet employee, director or designated consultant who believes that special circumstances require him or her to trade during a quarterly trading blackout period should consult the General Counsel. Permission to trade during a quarterly trading blackout period will be granted only where the circumstances are extenuating, the General Counsel concludes that the person is not in fact aware of any material nonpublic information relating to NerdWallet or its securities, and there appears to be no significant risk that the trade may subsequently be questioned.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5" name="Frame1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Event-Specific Trading Blackouts</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From time to time, an event may occur that is materi</w:t>
      </w:r>
      <w:r>
        <w:rPr>
          <w:rFonts w:ascii="Times New Roman;sans-serif" w:hAnsi="Times New Roman;sans-serif"/>
          <w:b w:val="false"/>
          <w:color w:val="000000"/>
          <w:sz w:val="22"/>
          <w:shd w:fill="FFFFFF" w:val="clear"/>
        </w:rPr>
        <w:t>al to NerdWallet and is known by only a few directors, officers and/or employees. So long as the event remains material and nonpublic, the persons designated by the Chief Executive Officer, Chief Financial Officer or General Counsel may not trade in NerdWallet’s securities. In that situation, NerdWallet will notify the designated individuals that neither they nor their Related Persons may trade in the NerdWalle</w:t>
      </w:r>
      <w:r>
        <w:rPr>
          <w:rFonts w:ascii="Times New Roman;sans-serif" w:hAnsi="Times New Roman;sans-serif"/>
          <w:b w:val="false"/>
          <w:color w:val="000000"/>
          <w:sz w:val="22"/>
          <w:shd w:fill="C0C0C0" w:val="clear"/>
        </w:rPr>
        <w:t>t</w:t>
      </w:r>
      <w:r>
        <w:rPr>
          <w:color w:val="000000"/>
        </w:rPr>
        <w:t>’</w:t>
      </w:r>
      <w:r>
        <w:rPr>
          <w:rFonts w:ascii="Times New Roman;sans-serif" w:hAnsi="Times New Roman;sans-serif"/>
          <w:b w:val="false"/>
          <w:color w:val="000000"/>
          <w:sz w:val="22"/>
        </w:rPr>
        <w:t>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quarterly and event-driven trading blackouts do not apply to those transactions to which this policy does not apply, as described under the heading “Exceptions to this Policy” below.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Exceptions to this Policy</w:t>
      </w:r>
    </w:p>
    <w:p>
      <w:pPr>
        <w:pStyle w:val="TextBody"/>
        <w:bidi w:val="0"/>
        <w:spacing w:lineRule="auto" w:line="288" w:before="0" w:after="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does not apply in the case of the following transactions, except as specifically noted:</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color w:val="000000"/>
          <w:sz w:val="20"/>
        </w:rPr>
        <w:t>1.    </w:t>
      </w:r>
      <w:r>
        <w:rPr>
          <w:rFonts w:ascii="Times New Roman;sans-serif" w:hAnsi="Times New Roman;sans-serif"/>
          <w:b/>
          <w:i/>
          <w:color w:val="000000"/>
          <w:sz w:val="22"/>
        </w:rPr>
        <w:t>Option Exercises</w:t>
      </w:r>
      <w:r>
        <w:rPr>
          <w:rFonts w:ascii="Times New Roman;sans-serif" w:hAnsi="Times New Roman;sans-serif"/>
          <w:b w:val="false"/>
          <w:color w:val="000000"/>
          <w:sz w:val="22"/>
        </w:rPr>
        <w:t xml:space="preserve">. This policy does not apply to the exercise of options granted under NerdWallet’s equity compensation plans for cash or, where permitted under the option, by a net exercise transaction with the Company or by delivery to NerdWallet of already-owned NerdWallet stock. This policy does, however, apply to any sale of stock as part of a broker-assisted cashless exercise or any other market sale, whether or not for the purpose of generating the cash needed to pay the exercise price or pay taxes. </w:t>
      </w:r>
    </w:p>
    <w:p>
      <w:pPr>
        <w:pStyle w:val="TextBody"/>
        <w:bidi w:val="0"/>
        <w:spacing w:lineRule="auto" w:line="288" w:before="0" w:after="240"/>
        <w:ind w:left="0" w:right="0" w:firstLine="360"/>
        <w:jc w:val="both"/>
        <w:rPr/>
      </w:pPr>
      <w:r>
        <w:rPr>
          <w:rFonts w:ascii="Times New Roman;sans-serif" w:hAnsi="Times New Roman;sans-serif"/>
          <w:b/>
          <w:color w:val="000000"/>
          <w:sz w:val="20"/>
        </w:rPr>
        <w:t>2.    </w:t>
      </w:r>
      <w:r>
        <w:rPr>
          <w:rFonts w:ascii="Times New Roman;sans-serif" w:hAnsi="Times New Roman;sans-serif"/>
          <w:b/>
          <w:i/>
          <w:color w:val="000000"/>
          <w:sz w:val="22"/>
        </w:rPr>
        <w:t>Tax Withholding Transactions</w:t>
      </w:r>
      <w:r>
        <w:rPr>
          <w:rFonts w:ascii="Times New Roman;sans-serif" w:hAnsi="Times New Roman;sans-serif"/>
          <w:b w:val="false"/>
          <w:color w:val="000000"/>
          <w:sz w:val="22"/>
        </w:rPr>
        <w:t xml:space="preserve">. This policy does not apply to the surrender of shares directly to NerdWallet to satisfy tax withholding obligations as a result of the issuance of shares upon vesting or exercise of restricted stock units, options or other equity awards granted under NerdWallet’s equity compensation plans. Of course, any market sale of the stock received upon exercise or vesting of any such equity awards remains subject to all provisions of this policy whether or not for the purpose of generating the cash needed to pay the exercise price or pay taxes. </w:t>
      </w:r>
    </w:p>
    <w:p>
      <w:pPr>
        <w:pStyle w:val="TextBody"/>
        <w:bidi w:val="0"/>
        <w:spacing w:lineRule="auto" w:line="288" w:before="0" w:after="240"/>
        <w:ind w:left="0" w:right="0" w:firstLine="360"/>
        <w:jc w:val="both"/>
        <w:rPr/>
      </w:pPr>
      <w:r>
        <w:rPr>
          <w:rFonts w:ascii="Times New Roman;sans-serif" w:hAnsi="Times New Roman;sans-serif"/>
          <w:b/>
          <w:color w:val="000000"/>
          <w:sz w:val="20"/>
        </w:rPr>
        <w:t>3.    </w:t>
      </w:r>
      <w:r>
        <w:rPr>
          <w:rFonts w:ascii="Times New Roman;sans-serif" w:hAnsi="Times New Roman;sans-serif"/>
          <w:b/>
          <w:i/>
          <w:color w:val="000000"/>
          <w:sz w:val="22"/>
        </w:rPr>
        <w:t>ESPP</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This policy does not apply to the purchase of stock by employees under NerdWallet’s Employee Stock Purchase Plan (“</w:t>
      </w:r>
      <w:r>
        <w:rPr>
          <w:rFonts w:ascii="Times New Roman;sans-serif" w:hAnsi="Times New Roman;sans-serif"/>
          <w:b/>
          <w:i/>
          <w:color w:val="000000"/>
          <w:sz w:val="22"/>
        </w:rPr>
        <w:t>ESPP</w:t>
      </w:r>
      <w:r>
        <w:rPr>
          <w:color w:val="000000"/>
        </w:rPr>
        <w:t>”</w:t>
      </w:r>
      <w:r>
        <w:rPr>
          <w:rFonts w:ascii="Times New Roman;sans-serif" w:hAnsi="Times New Roman;sans-serif"/>
          <w:b w:val="false"/>
          <w:color w:val="000000"/>
          <w:sz w:val="22"/>
        </w:rPr>
        <w:t xml:space="preserve">) on periodic designated dates in accordance with the ESPP. This policy does, however, apply to any sale of stock acquired pursuant to the ESPP. </w:t>
      </w:r>
    </w:p>
    <w:p>
      <w:pPr>
        <w:pStyle w:val="TextBody"/>
        <w:bidi w:val="0"/>
        <w:spacing w:lineRule="auto" w:line="288" w:before="0" w:after="240"/>
        <w:ind w:left="0" w:right="0" w:firstLine="360"/>
        <w:jc w:val="both"/>
        <w:rPr/>
      </w:pPr>
      <w:r>
        <w:rPr>
          <w:rFonts w:ascii="Times New Roman;sans-serif" w:hAnsi="Times New Roman;sans-serif"/>
          <w:b/>
          <w:color w:val="000000"/>
          <w:sz w:val="20"/>
        </w:rPr>
        <w:t>4.    </w:t>
      </w:r>
      <w:r>
        <w:rPr>
          <w:rFonts w:ascii="Times New Roman;sans-serif" w:hAnsi="Times New Roman;sans-serif"/>
          <w:b/>
          <w:i/>
          <w:color w:val="000000"/>
          <w:sz w:val="22"/>
        </w:rPr>
        <w:t>10b5-1 Automatic Trading Programs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Under Rule 10b5-1 of the Securities Exchange Act of 1934, as amended (“</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and as permitted by NerdWallet, employees, directors and consultants may establish a trading plan under which a broker is instructed to buy and sell NerdWallet securities based on pre-determined criteria (a “</w:t>
      </w:r>
      <w:r>
        <w:rPr>
          <w:rFonts w:ascii="Times New Roman;sans-serif" w:hAnsi="Times New Roman;sans-serif"/>
          <w:b/>
          <w:i/>
          <w:color w:val="000000"/>
          <w:sz w:val="22"/>
        </w:rPr>
        <w:t>Trading Plan</w:t>
      </w:r>
      <w:r>
        <w:rPr>
          <w:color w:val="000000"/>
        </w:rPr>
        <w:t>”</w:t>
      </w:r>
      <w:r>
        <w:rPr>
          <w:rFonts w:ascii="Times New Roman;sans-serif" w:hAnsi="Times New Roman;sans-serif"/>
          <w:b w:val="false"/>
          <w:color w:val="000000"/>
          <w:sz w:val="22"/>
        </w:rPr>
        <w:t xml:space="preserve">). So long as a Trading Plan is properly established, purchases and sales of NerdWallet securities pursuant to that Trading Plan are not subject to this policy. To be properly established, an employee’s, director’s or consultant’s Trading Plan must be established in compliance with the requirements of Rule 10b5-1 of the Exchange Act and any applicable 10b5-1 trading plan guidelines of NerdWallet at a time when they were unaware of any material nonpublic information relating NerdWallet and when NerdWallet was not otherwise in a trading blackout period. Moreover, all Trading Plans must be reviewed and approved by NerdWallet before being established to confirm that the Trading Plan complies with all pertinent company policies and applicable securities laws.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6"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360"/>
        <w:jc w:val="both"/>
        <w:rPr/>
      </w:pPr>
      <w:r>
        <w:rPr>
          <w:rFonts w:ascii="Times New Roman;sans-serif" w:hAnsi="Times New Roman;sans-serif"/>
          <w:b/>
          <w:color w:val="000000"/>
          <w:sz w:val="20"/>
        </w:rPr>
        <w:t>5.    </w:t>
      </w:r>
      <w:r>
        <w:rPr>
          <w:rFonts w:ascii="Times New Roman;sans-serif" w:hAnsi="Times New Roman;sans-serif"/>
          <w:b/>
          <w:i/>
          <w:color w:val="000000"/>
          <w:sz w:val="22"/>
        </w:rPr>
        <w:t xml:space="preserve">Gifts. </w:t>
      </w:r>
      <w:r>
        <w:rPr>
          <w:rFonts w:ascii="Times New Roman;sans-serif" w:hAnsi="Times New Roman;sans-serif"/>
          <w:b w:val="false"/>
          <w:color w:val="000000"/>
          <w:sz w:val="22"/>
        </w:rPr>
        <w:t>This policy does not apply to</w:t>
      </w:r>
      <w:r>
        <w:rPr>
          <w:color w:val="000000"/>
        </w:rPr>
        <w:t xml:space="preserve">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 xml:space="preserve">gifts of NerdWallet securities that have been pre-cleared by NerdWallet’s General Counsel or his or her designee. Whether a gift is truly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will depend on the facts and circumstances surrounding each gift. Pre-clearance must be obtained at least two business days in advance of the proposed gift, and pre-cleared gifts not completed within five business days will require new pre-clearance. NerdWallet may choose to shorten this period.</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Special and Prohibited Transactions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1.    </w:t>
      </w:r>
      <w:r>
        <w:rPr>
          <w:rFonts w:ascii="Times New Roman;sans-serif" w:hAnsi="Times New Roman;sans-serif"/>
          <w:b/>
          <w:i/>
          <w:color w:val="000000"/>
          <w:sz w:val="22"/>
        </w:rPr>
        <w:t>Inherently Speculative Transactions</w:t>
      </w:r>
      <w:r>
        <w:rPr>
          <w:rFonts w:ascii="Times New Roman;sans-serif" w:hAnsi="Times New Roman;sans-serif"/>
          <w:b/>
          <w:color w:val="000000"/>
          <w:sz w:val="22"/>
        </w:rPr>
        <w:t xml:space="preserve">. </w:t>
      </w:r>
      <w:r>
        <w:rPr>
          <w:rFonts w:ascii="Times New Roman;sans-serif" w:hAnsi="Times New Roman;sans-serif"/>
          <w:b w:val="false"/>
          <w:color w:val="000000"/>
          <w:sz w:val="22"/>
        </w:rPr>
        <w:t>No NerdWallet employee, director or designated consultant may engage in short sales, transactions in put options, call options or other derivative securities on an exchange or in any other organized market, or in any other inherently speculative transactions with respect to NerdWallet’s stock.</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2.    </w:t>
      </w:r>
      <w:r>
        <w:rPr>
          <w:rFonts w:ascii="Times New Roman;sans-serif" w:hAnsi="Times New Roman;sans-serif"/>
          <w:b/>
          <w:i/>
          <w:color w:val="000000"/>
          <w:sz w:val="22"/>
        </w:rPr>
        <w:t>Hedging Transactions.</w:t>
      </w:r>
      <w:r>
        <w:rPr>
          <w:color w:val="000000"/>
        </w:rPr>
        <w:t xml:space="preserve"> </w:t>
      </w:r>
      <w:r>
        <w:rPr>
          <w:rFonts w:ascii="Times New Roman;sans-serif" w:hAnsi="Times New Roman;sans-serif"/>
          <w:b w:val="false"/>
          <w:color w:val="000000"/>
          <w:sz w:val="22"/>
        </w:rPr>
        <w:t xml:space="preserve">Hedging or monetization transactions can be accomplished through a number of possible mechanisms, including through the use of financial instruments such as prepaid variable forwards, equity swaps, collars and exchange funds. Such hedging transactions may permit a NerdWallet employee, director or designated consultant to continue to own NerdWallet’s securities obtained through employee benefit plans or otherwise, but without the full risks and rewards of ownership. When that occurs, the NerdWallet employee, director or designated consultant may no longer have the same objectives as NerdWallet’s other shareholders. Therefore, NerdWallet employees, directors and designated consultants are prohibited from engaging in any such transactions. </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3.    </w:t>
      </w:r>
      <w:r>
        <w:rPr>
          <w:rFonts w:ascii="Times New Roman;sans-serif" w:hAnsi="Times New Roman;sans-serif"/>
          <w:b/>
          <w:i/>
          <w:color w:val="000000"/>
          <w:sz w:val="22"/>
        </w:rPr>
        <w:t>Margin Accounts and Pledged Securities</w:t>
      </w:r>
      <w:r>
        <w:rPr>
          <w:rFonts w:ascii="Times New Roman;sans-serif" w:hAnsi="Times New Roman;sans-serif"/>
          <w:b w:val="false"/>
          <w:color w:val="000000"/>
          <w:sz w:val="22"/>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NerdWallet’s securities, NerdWallet employees, directors and designated consultants are prohibited from holding NerdWallet’s securities in a margin account or otherwise pledging NerdWallet’s securities as collateral for a loan. </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4.    </w:t>
      </w:r>
      <w:r>
        <w:rPr>
          <w:rFonts w:ascii="Times New Roman;sans-serif" w:hAnsi="Times New Roman;sans-serif"/>
          <w:b/>
          <w:i/>
          <w:color w:val="000000"/>
          <w:sz w:val="22"/>
        </w:rPr>
        <w:t>Standing and Limit Orders</w:t>
      </w:r>
      <w:r>
        <w:rPr>
          <w:rFonts w:ascii="Times New Roman;sans-serif" w:hAnsi="Times New Roman;sans-serif"/>
          <w:b w:val="false"/>
          <w:color w:val="000000"/>
          <w:sz w:val="22"/>
        </w:rPr>
        <w:t xml:space="preserve">.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NerdWallet employee, director or designated consultant is in possession of material nonpublic information. NerdWallet therefore discourages placing standing or limit orders on NerdWallet’s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1155"/>
                <wp:effectExtent l="0" t="0" r="0" b="0"/>
                <wp:wrapNone/>
                <wp:docPr id="107"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Pre-Clearance and Advance Notice of Transactions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In addition to the requirements above, all directors, and certain officers, namely the CEO, CFO, CBO, CMO, who have been notified that they are subject to pre-clearance requirements face a further restriction: Even during an open trading window, they may not engage in any transaction in NerdWallet’s securities without first obtaining pre-clearance of the transaction from NerdWallet’s General Counsel or his or her designee at least two</w:t>
      </w:r>
      <w:r>
        <w:rPr>
          <w:color w:val="000000"/>
        </w:rPr>
        <w:t xml:space="preserve"> </w:t>
      </w:r>
      <w:r>
        <w:rPr>
          <w:rFonts w:ascii="Times New Roman;sans-serif" w:hAnsi="Times New Roman;sans-serif"/>
          <w:b w:val="false"/>
          <w:color w:val="000000"/>
          <w:sz w:val="22"/>
        </w:rPr>
        <w:t>business days in advance of the proposed transaction. The General Counsel or his or her designee will then determine whether the transaction may proceed and, if so, will direct the Compliance Coordinator (as identified in NerdWallet’s Section 16 Compliance Program) to help comply with any required reporting requirements under Section 16(a) of the Exchange Act. Pre-cleared transactions not completed within five business days will require new pre-clearance. NerdWallet may choose to shorten this period.</w:t>
      </w:r>
    </w:p>
    <w:p>
      <w:pPr>
        <w:pStyle w:val="TextBody"/>
        <w:bidi w:val="0"/>
        <w:spacing w:lineRule="auto" w:line="288" w:before="0" w:after="240"/>
        <w:ind w:left="0" w:right="0" w:firstLine="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and any other individuals identified under the heading “Notification of Execution of Transaction” in NerdWallet’s Section 16 Compliance Program so that NerdWallet may assist in any Section 16 reporting obligations.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Short-Swing Trading, Control Stock and Section 16 Reports </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NerdWallet’s Section 16 Compliance Program, and any notices of sale required by Rule 144.</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Prohibition of Trading During Pension Plan Blackouts </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No director or executive officer of NerdWallet may, directly or indirectly, purchase, sell or otherwise transfer any equity security of NerdWallet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NerdWallet’s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NerdWallet will notify each director and executive officer of any blackout periods in accordance with the provisions of Regulation BTR. Because Regulation BTR is very complex, no director or executive officer of NerdWallet should engage in any transactions in NerdWallet’s securities, even if believed to be exempt from Regulation BTR, without first consulting with the General Counsel.</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1155"/>
                <wp:effectExtent l="0" t="0" r="0" b="0"/>
                <wp:wrapNone/>
                <wp:docPr id="108" name="Frame1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Policy’s Duration</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continues to apply to your transactions in NerdWallet’s securities or the securities of other public companies engaged in business transactions with NerdWallet even after your relationship with NerdWallet has ended. If you are aware of material nonpublic information when your relationship with NerdWallet ends, you may not trade NerdWallet’s securities or the securities of other applicable companies until the material nonpublic information has been publicly disseminated or is no longer material. Further, if you leave NerdWallet during a trading blackout period, then you may not trade NerdWallet’s securities or the securities of other applicable companies until the trading blackout period has ended.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Individual Responsibility </w:t>
      </w:r>
    </w:p>
    <w:p>
      <w:pPr>
        <w:pStyle w:val="TextBody"/>
        <w:bidi w:val="0"/>
        <w:spacing w:lineRule="auto" w:line="288" w:before="0" w:after="240"/>
        <w:ind w:left="0" w:right="0" w:firstLine="45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Persons subject to this policy have ethical and legal obligations to maintain the confidentiality of information about NerdWallet and to not engage in transactions in NerdWallet’s securities while aware of material nonpublic information.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NerdWallet or any employee or director of NerdWallet pursuant to this policy (or otherwise) does not in any way constitute legal advice or insulate an individual from liability under applicable securities laws. You could be subject to severe legal penalties and disciplinary action by NerdWallet for any conduct prohibited by this policy or applicable securities laws. See “Penalties” below.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Penalties</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 xml:space="preserve">Anyone who engages in insider trading or otherwise violates this policy may be subject to both civil liability and criminal penalties. Violators also risk disciplinary action by NerdWallet, including termination of employment. Anyone who has questions about this policy should contact their own attorney or NerdWallet’s General Counsel, at elysonge@nerdwallet.com. Please also see Frequently Asked Questions, which are attached as </w:t>
      </w:r>
      <w:r>
        <w:rPr>
          <w:rFonts w:ascii="Times New Roman;sans-serif" w:hAnsi="Times New Roman;sans-serif"/>
          <w:b/>
          <w:color w:val="000000"/>
          <w:sz w:val="22"/>
        </w:rPr>
        <w:t>Exhibit A</w:t>
      </w:r>
      <w:r>
        <w:rPr>
          <w:rFonts w:ascii="Times New Roman;sans-serif" w:hAnsi="Times New Roman;sans-serif"/>
          <w:b w:val="false"/>
          <w:color w:val="000000"/>
          <w:sz w:val="22"/>
        </w:rPr>
        <w:t xml:space="preserve">.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Amendments</w:t>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NerdWallet is committed to continuously reviewing and updating its policies and procedures. NerdWallet therefore reserves the right to amend, alter or terminate this policy at any time and for any reason. A current copy of the NerdWallet’s policies regarding insider trading may be obtained by contacting the Compliance Coordinator.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1155"/>
                <wp:effectExtent l="0" t="0" r="0" b="0"/>
                <wp:wrapNone/>
                <wp:docPr id="109" name="Frame1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Frequently Asked Questions</w: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color w:val="000000"/>
          <w:sz w:val="22"/>
        </w:rPr>
        <w:t>1.    </w:t>
      </w:r>
      <w:r>
        <w:rPr>
          <w:rFonts w:ascii="Times New Roman;sans-serif" w:hAnsi="Times New Roman;sans-serif"/>
          <w:b/>
          <w:i/>
          <w:color w:val="000000"/>
          <w:sz w:val="22"/>
        </w:rPr>
        <w:t>What is insider trading?</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NerdWallet or another publicly traded company that NerdWallet has business relationships with and you trade in NerdWallet’s or such other company’s securities, you have broken the law.</w:t>
      </w:r>
    </w:p>
    <w:p>
      <w:pPr>
        <w:pStyle w:val="TextBody"/>
        <w:bidi w:val="0"/>
        <w:spacing w:lineRule="auto" w:line="288" w:before="0" w:after="240"/>
        <w:jc w:val="both"/>
        <w:rPr/>
      </w:pPr>
      <w:r>
        <w:rPr>
          <w:rFonts w:ascii="Times New Roman;sans-serif" w:hAnsi="Times New Roman;sans-serif"/>
          <w:b/>
          <w:color w:val="000000"/>
          <w:sz w:val="22"/>
        </w:rPr>
        <w:t>2.    </w:t>
      </w:r>
      <w:r>
        <w:rPr>
          <w:rFonts w:ascii="Times New Roman;sans-serif" w:hAnsi="Times New Roman;sans-serif"/>
          <w:b/>
          <w:i/>
          <w:color w:val="000000"/>
          <w:sz w:val="22"/>
        </w:rPr>
        <w:t>Why is insider trading illegal?</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lineRule="auto" w:line="288" w:before="0" w:after="240"/>
        <w:jc w:val="both"/>
        <w:rPr/>
      </w:pPr>
      <w:r>
        <w:rPr>
          <w:rFonts w:ascii="Times New Roman;sans-serif" w:hAnsi="Times New Roman;sans-serif"/>
          <w:b/>
          <w:color w:val="000000"/>
          <w:sz w:val="22"/>
        </w:rPr>
        <w:t>3.    </w:t>
      </w:r>
      <w:r>
        <w:rPr>
          <w:rFonts w:ascii="Times New Roman;sans-serif" w:hAnsi="Times New Roman;sans-serif"/>
          <w:b/>
          <w:i/>
          <w:color w:val="000000"/>
          <w:sz w:val="22"/>
        </w:rPr>
        <w:t>What is material nonpublic information?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Information is material if it would influence a reasonable investor to buy or sell a stock, bond future or other security. This could mean many things: financial results, regulatory results or developments, potential acquisitions or major contracts to name just a few. Information is nonpublic if it has not yet been publicly disseminated within the meaning of our insider trading policy.</w:t>
      </w:r>
    </w:p>
    <w:p>
      <w:pPr>
        <w:pStyle w:val="TextBody"/>
        <w:bidi w:val="0"/>
        <w:spacing w:lineRule="auto" w:line="288" w:before="0" w:after="240"/>
        <w:jc w:val="both"/>
        <w:rPr/>
      </w:pPr>
      <w:r>
        <w:rPr>
          <w:rFonts w:ascii="Times New Roman;sans-serif" w:hAnsi="Times New Roman;sans-serif"/>
          <w:b/>
          <w:color w:val="000000"/>
          <w:sz w:val="22"/>
        </w:rPr>
        <w:t>4.    </w:t>
      </w:r>
      <w:r>
        <w:rPr>
          <w:rFonts w:ascii="Times New Roman;sans-serif" w:hAnsi="Times New Roman;sans-serif"/>
          <w:b/>
          <w:i/>
          <w:color w:val="000000"/>
          <w:sz w:val="22"/>
        </w:rPr>
        <w:t>Who can be guilty of insider trading?</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NerdWallet. Regardless of who you are, if you know something material about the value of a security that not everyone knows and you trade (or convince someone else to trade) in that security, you may be found guilty of insider trading. </w:t>
      </w:r>
    </w:p>
    <w:p>
      <w:pPr>
        <w:pStyle w:val="TextBody"/>
        <w:bidi w:val="0"/>
        <w:spacing w:lineRule="auto" w:line="288" w:before="0" w:after="240"/>
        <w:jc w:val="both"/>
        <w:rPr/>
      </w:pPr>
      <w:r>
        <w:rPr>
          <w:rFonts w:ascii="Times New Roman;sans-serif" w:hAnsi="Times New Roman;sans-serif"/>
          <w:b/>
          <w:color w:val="000000"/>
          <w:sz w:val="22"/>
        </w:rPr>
        <w:t>5.    </w:t>
      </w:r>
      <w:r>
        <w:rPr>
          <w:rFonts w:ascii="Times New Roman;sans-serif" w:hAnsi="Times New Roman;sans-serif"/>
          <w:b/>
          <w:i/>
          <w:color w:val="000000"/>
          <w:sz w:val="22"/>
        </w:rPr>
        <w:t>Does NerdWallet have an insider trading policy?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Yes, the insider trading policy is available to read on our intranet website.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44805"/>
                <wp:effectExtent l="0" t="0" r="0" b="0"/>
                <wp:wrapNone/>
                <wp:docPr id="110" name="Frame109"/>
                <a:graphic xmlns:a="http://schemas.openxmlformats.org/drawingml/2006/main">
                  <a:graphicData uri="http://schemas.microsoft.com/office/word/2010/wordprocessingShape">
                    <wps:wsp>
                      <wps:cNvSpPr txBox="1"/>
                      <wps:spPr>
                        <a:xfrm>
                          <a:off x="0" y="0"/>
                          <a:ext cx="6480175" cy="34480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9</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2"/>
        </w:rPr>
        <w:t>6.    </w:t>
      </w:r>
      <w:r>
        <w:rPr>
          <w:rFonts w:ascii="Times New Roman;sans-serif" w:hAnsi="Times New Roman;sans-serif"/>
          <w:b/>
          <w:i/>
          <w:color w:val="000000"/>
          <w:sz w:val="22"/>
        </w:rPr>
        <w:t>What if I work in a foreign office?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NerdWallet director, employee or consultant, our policies apply to you no matter where you work.</w:t>
      </w:r>
    </w:p>
    <w:p>
      <w:pPr>
        <w:pStyle w:val="TextBody"/>
        <w:bidi w:val="0"/>
        <w:spacing w:lineRule="auto" w:line="288" w:before="0" w:after="240"/>
        <w:jc w:val="both"/>
        <w:rPr/>
      </w:pPr>
      <w:r>
        <w:rPr>
          <w:rFonts w:ascii="Times New Roman;sans-serif" w:hAnsi="Times New Roman;sans-serif"/>
          <w:b/>
          <w:color w:val="000000"/>
          <w:sz w:val="22"/>
        </w:rPr>
        <w:t>7.    </w:t>
      </w:r>
      <w:r>
        <w:rPr>
          <w:rFonts w:ascii="Times New Roman;sans-serif" w:hAnsi="Times New Roman;sans-serif"/>
          <w:b/>
          <w:i/>
          <w:color w:val="000000"/>
          <w:sz w:val="22"/>
        </w:rPr>
        <w:t>What if I don’t buy or sell anything, but I tell someone else material nonpublic information and they buy or sell?</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NerdWallet, including spouses, family members, friends or business associates (unless the disclosure is made in accordance with NerdWallet’s policies regarding the protection or authorized external disclosure of information regarding NerdWallet). This includes anonymous discussions on the internet about NerdWallet or companies with which NerdWallet does business.</w:t>
      </w:r>
    </w:p>
    <w:p>
      <w:pPr>
        <w:pStyle w:val="TextBody"/>
        <w:bidi w:val="0"/>
        <w:spacing w:lineRule="auto" w:line="288" w:before="0" w:after="240"/>
        <w:jc w:val="both"/>
        <w:rPr/>
      </w:pPr>
      <w:r>
        <w:rPr>
          <w:rFonts w:ascii="Times New Roman;sans-serif" w:hAnsi="Times New Roman;sans-serif"/>
          <w:b/>
          <w:color w:val="000000"/>
          <w:sz w:val="22"/>
        </w:rPr>
        <w:t>8.    </w:t>
      </w:r>
      <w:r>
        <w:rPr>
          <w:rFonts w:ascii="Times New Roman;sans-serif" w:hAnsi="Times New Roman;sans-serif"/>
          <w:b/>
          <w:i/>
          <w:color w:val="000000"/>
          <w:sz w:val="22"/>
        </w:rPr>
        <w:t xml:space="preserve">What if I don’t tell them the information itself; I just tell them whether they should buy or sell? </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That is still tipping, and you can still be responsible for insider trading. You may never recommend to another person that they buy, hold or sell NerdWallet’s Class A common stock or any derivative security related to NerdWallet’s Class A common stock, since that could be a form of tipping.</w:t>
      </w:r>
    </w:p>
    <w:p>
      <w:pPr>
        <w:pStyle w:val="TextBody"/>
        <w:bidi w:val="0"/>
        <w:spacing w:lineRule="auto" w:line="288" w:before="0" w:after="240"/>
        <w:jc w:val="both"/>
        <w:rPr/>
      </w:pPr>
      <w:r>
        <w:rPr>
          <w:rFonts w:ascii="Times New Roman;sans-serif" w:hAnsi="Times New Roman;sans-serif"/>
          <w:b/>
          <w:color w:val="000000"/>
          <w:sz w:val="22"/>
        </w:rPr>
        <w:t>9.    </w:t>
      </w:r>
      <w:r>
        <w:rPr>
          <w:rFonts w:ascii="Times New Roman;sans-serif" w:hAnsi="Times New Roman;sans-serif"/>
          <w:b/>
          <w:i/>
          <w:color w:val="000000"/>
          <w:sz w:val="22"/>
        </w:rPr>
        <w:t>What are the sanctions if I trade on material nonpublic information or tip off someone else?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In addition to disciplinary action by NerdWallet—which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lineRule="auto" w:line="288" w:before="0" w:after="240"/>
        <w:jc w:val="both"/>
        <w:rPr/>
      </w:pPr>
      <w:r>
        <w:rPr>
          <w:rFonts w:ascii="Times New Roman;sans-serif" w:hAnsi="Times New Roman;sans-serif"/>
          <w:b/>
          <w:color w:val="000000"/>
          <w:sz w:val="22"/>
        </w:rPr>
        <w:t>10.    </w:t>
      </w:r>
      <w:r>
        <w:rPr>
          <w:rFonts w:ascii="Times New Roman;sans-serif" w:hAnsi="Times New Roman;sans-serif"/>
          <w:b/>
          <w:i/>
          <w:color w:val="000000"/>
          <w:sz w:val="22"/>
        </w:rPr>
        <w:t>What is “loss avoided”?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If you sell Class A common stock or a related derivative security before negative news is publicly announced, and as a result of the announcement the stock price declines, you have avoided the loss caused by the negative news.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44805"/>
                <wp:effectExtent l="0" t="0" r="0" b="0"/>
                <wp:wrapNone/>
                <wp:docPr id="111" name="Frame110"/>
                <a:graphic xmlns:a="http://schemas.openxmlformats.org/drawingml/2006/main">
                  <a:graphicData uri="http://schemas.microsoft.com/office/word/2010/wordprocessingShape">
                    <wps:wsp>
                      <wps:cNvSpPr txBox="1"/>
                      <wps:spPr>
                        <a:xfrm>
                          <a:off x="0" y="0"/>
                          <a:ext cx="6480175" cy="34480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10</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2"/>
        </w:rPr>
        <w:t>11.    </w:t>
      </w:r>
      <w:r>
        <w:rPr>
          <w:rFonts w:ascii="Times New Roman;sans-serif" w:hAnsi="Times New Roman;sans-serif"/>
          <w:b/>
          <w:i/>
          <w:color w:val="000000"/>
          <w:sz w:val="22"/>
        </w:rPr>
        <w:t>Am I restricted from trading securities of any companies other than NerdWallet, for example a financial services partner or competitor of NerdWallet?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NerdWallet, you sometimes obtain sensitive, material information about other companies and their business dealings with NerdWallet.</w:t>
      </w:r>
    </w:p>
    <w:p>
      <w:pPr>
        <w:pStyle w:val="TextBody"/>
        <w:bidi w:val="0"/>
        <w:spacing w:lineRule="auto" w:line="288" w:before="0" w:after="240"/>
        <w:jc w:val="both"/>
        <w:rPr/>
      </w:pPr>
      <w:r>
        <w:rPr>
          <w:rFonts w:ascii="Times New Roman;sans-serif" w:hAnsi="Times New Roman;sans-serif"/>
          <w:b/>
          <w:color w:val="000000"/>
          <w:sz w:val="22"/>
        </w:rPr>
        <w:t>12.    </w:t>
      </w:r>
      <w:r>
        <w:rPr>
          <w:rFonts w:ascii="Times New Roman;sans-serif" w:hAnsi="Times New Roman;sans-serif"/>
          <w:b/>
          <w:i/>
          <w:color w:val="000000"/>
          <w:sz w:val="22"/>
        </w:rPr>
        <w:t>So, if I do not trade NerdWallet securities when I have material nonpublic information, and I don’t “tip” other people, I am in the clear, right?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Not necessarily. Even if you do not violate U.S. law, you may still violate our policies. For example, employees and consultants may violate our policies by breaching their confidentiality obligations or by recommending NerdWallet stock as an investment, even if these actions do not violate securities laws. Our policies are stricter than the law requires so that we and our employees and consultants can avoid even the appearance of wrongdoing. Therefore, please review the entire policy carefully. </w:t>
      </w:r>
    </w:p>
    <w:p>
      <w:pPr>
        <w:pStyle w:val="TextBody"/>
        <w:bidi w:val="0"/>
        <w:spacing w:lineRule="auto" w:line="288" w:before="0" w:after="240"/>
        <w:jc w:val="both"/>
        <w:rPr/>
      </w:pPr>
      <w:r>
        <w:rPr>
          <w:rFonts w:ascii="Times New Roman;sans-serif" w:hAnsi="Times New Roman;sans-serif"/>
          <w:b/>
          <w:color w:val="000000"/>
          <w:sz w:val="22"/>
        </w:rPr>
        <w:t>13.    </w:t>
      </w:r>
      <w:r>
        <w:rPr>
          <w:rFonts w:ascii="Times New Roman;sans-serif" w:hAnsi="Times New Roman;sans-serif"/>
          <w:b/>
          <w:i/>
          <w:color w:val="000000"/>
          <w:sz w:val="22"/>
        </w:rPr>
        <w:t>So when can I buy or sell my NerdWallet securities?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If you are aware of material nonpublic information, you may not buy or sell our Class A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sans-serif" w:hAnsi="Times New Roman;sans-serif"/>
          <w:b/>
          <w:color w:val="000000"/>
          <w:sz w:val="22"/>
        </w:rPr>
        <w:t>Even if you are not aware of any material nonpublic information, you may not trade our Class A common stock during any trading “blackout” period</w:t>
      </w:r>
      <w:r>
        <w:rPr>
          <w:rFonts w:ascii="Times New Roman;sans-serif" w:hAnsi="Times New Roman;sans-serif"/>
          <w:b w:val="false"/>
          <w:color w:val="000000"/>
          <w:sz w:val="22"/>
        </w:rPr>
        <w:t xml:space="preserve">. Our insider trading policy describes the quarterly trading blackout period, and additional event-driven trading blackout periods may be announced by email. </w:t>
      </w:r>
    </w:p>
    <w:p>
      <w:pPr>
        <w:pStyle w:val="TextBody"/>
        <w:bidi w:val="0"/>
        <w:spacing w:lineRule="auto" w:line="288" w:before="0" w:after="240"/>
        <w:jc w:val="both"/>
        <w:rPr/>
      </w:pPr>
      <w:r>
        <w:rPr>
          <w:rFonts w:ascii="Times New Roman;sans-serif" w:hAnsi="Times New Roman;sans-serif"/>
          <w:b/>
          <w:color w:val="000000"/>
          <w:sz w:val="22"/>
          <w:shd w:fill="FFFFFF" w:val="clear"/>
        </w:rPr>
        <w:t>14.    </w:t>
      </w:r>
      <w:r>
        <w:rPr>
          <w:rFonts w:ascii="Times New Roman;sans-serif" w:hAnsi="Times New Roman;sans-serif"/>
          <w:b/>
          <w:i/>
          <w:color w:val="000000"/>
          <w:sz w:val="22"/>
          <w:shd w:fill="FFFFFF" w:val="clear"/>
        </w:rPr>
        <w:t>If I’m subject to the blackout period and I have an open order to buy or sell NerdWallet securities on the date a blackout period commences, can I leave it to my broker to cancel the open order and avoid executing the trade?</w:t>
      </w:r>
    </w:p>
    <w:p>
      <w:pPr>
        <w:pStyle w:val="TextBody"/>
        <w:bidi w:val="0"/>
        <w:spacing w:lineRule="auto" w:line="288" w:before="0" w:after="240"/>
        <w:ind w:left="0" w:right="0" w:firstLine="720"/>
        <w:jc w:val="both"/>
        <w:rPr/>
      </w:pPr>
      <w:r>
        <w:rPr>
          <w:rFonts w:ascii="Times New Roman;sans-serif" w:hAnsi="Times New Roman;sans-serif"/>
          <w:b/>
          <w:color w:val="000000"/>
          <w:sz w:val="22"/>
          <w:shd w:fill="FFFFFF" w:val="clear"/>
        </w:rPr>
        <w:t xml:space="preserve">A: </w:t>
      </w:r>
      <w:r>
        <w:rPr>
          <w:rFonts w:ascii="Times New Roman;sans-serif" w:hAnsi="Times New Roman;sans-serif"/>
          <w:b w:val="false"/>
          <w:color w:val="000000"/>
          <w:sz w:val="22"/>
          <w:shd w:fill="FFFFFF" w:val="clear"/>
        </w:rPr>
        <w:t xml:space="preserve">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44805"/>
                <wp:effectExtent l="0" t="0" r="0" b="0"/>
                <wp:wrapNone/>
                <wp:docPr id="112" name="Frame111"/>
                <a:graphic xmlns:a="http://schemas.openxmlformats.org/drawingml/2006/main">
                  <a:graphicData uri="http://schemas.microsoft.com/office/word/2010/wordprocessingShape">
                    <wps:wsp>
                      <wps:cNvSpPr txBox="1"/>
                      <wps:spPr>
                        <a:xfrm>
                          <a:off x="0" y="0"/>
                          <a:ext cx="6480175" cy="34480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11</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2"/>
        </w:rPr>
        <w:t>15.    </w:t>
      </w:r>
      <w:r>
        <w:rPr>
          <w:rFonts w:ascii="Times New Roman;sans-serif" w:hAnsi="Times New Roman;sans-serif"/>
          <w:b/>
          <w:i/>
          <w:color w:val="000000"/>
          <w:sz w:val="22"/>
        </w:rPr>
        <w:t>Am I allowed to trade derivative securities of NerdWallet’s Class A common stock?</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No. Under our policies, you may not trade in derivative securities related to our Class A common stock, which include publicly traded call and put options. In addition, under our policies, you may not engage in short selling of our Class A common stock at any time.</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2"/>
        </w:rPr>
        <w:t xml:space="preserve">Derivative securities” are securities other than our Class A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 </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2"/>
        </w:rPr>
        <w:t xml:space="preserve">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 </w:t>
      </w:r>
    </w:p>
    <w:p>
      <w:pPr>
        <w:pStyle w:val="TextBody"/>
        <w:bidi w:val="0"/>
        <w:spacing w:lineRule="auto" w:line="288" w:before="0" w:after="240"/>
        <w:jc w:val="both"/>
        <w:rPr/>
      </w:pPr>
      <w:r>
        <w:rPr>
          <w:rFonts w:ascii="Times New Roman;sans-serif" w:hAnsi="Times New Roman;sans-serif"/>
          <w:b/>
          <w:color w:val="000000"/>
          <w:sz w:val="22"/>
        </w:rPr>
        <w:t>16.    </w:t>
      </w:r>
      <w:r>
        <w:rPr>
          <w:rFonts w:ascii="Times New Roman;sans-serif" w:hAnsi="Times New Roman;sans-serif"/>
          <w:b/>
          <w:i/>
          <w:color w:val="000000"/>
          <w:sz w:val="22"/>
        </w:rPr>
        <w:t>Why does NerdWallet prohibit trading in derivative securities and short selling?</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Class A common stock, and encourages speculative trading. We are dedicated to building stockholder value, short selling our Class A common stock conflicts with our values and would not be well-received by our stockholders.</w:t>
      </w:r>
    </w:p>
    <w:p>
      <w:pPr>
        <w:pStyle w:val="TextBody"/>
        <w:bidi w:val="0"/>
        <w:spacing w:lineRule="auto" w:line="288" w:before="0" w:after="240"/>
        <w:jc w:val="both"/>
        <w:rPr/>
      </w:pPr>
      <w:r>
        <w:rPr>
          <w:rFonts w:ascii="Times New Roman;sans-serif" w:hAnsi="Times New Roman;sans-serif"/>
          <w:b/>
          <w:color w:val="000000"/>
          <w:sz w:val="22"/>
        </w:rPr>
        <w:t>17.    </w:t>
      </w:r>
      <w:r>
        <w:rPr>
          <w:rFonts w:ascii="Times New Roman;sans-serif" w:hAnsi="Times New Roman;sans-serif"/>
          <w:b/>
          <w:i/>
          <w:color w:val="000000"/>
          <w:sz w:val="22"/>
        </w:rPr>
        <w:t>Can I purchase NerdWallet securities on margin or hold them in a margin account?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Under our policies, you may not purchase our Class A common stock on margin or hold it in a margin account at any time.</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2"/>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lineRule="auto" w:line="288" w:before="0" w:after="240"/>
        <w:jc w:val="both"/>
        <w:rPr/>
      </w:pPr>
      <w:r>
        <w:rPr>
          <w:rFonts w:ascii="Times New Roman;sans-serif" w:hAnsi="Times New Roman;sans-serif"/>
          <w:b/>
          <w:color w:val="000000"/>
          <w:sz w:val="22"/>
        </w:rPr>
        <w:t>18.    </w:t>
      </w:r>
      <w:r>
        <w:rPr>
          <w:rFonts w:ascii="Times New Roman;sans-serif" w:hAnsi="Times New Roman;sans-serif"/>
          <w:b/>
          <w:i/>
          <w:color w:val="000000"/>
          <w:sz w:val="22"/>
        </w:rPr>
        <w:t>Why does NerdWallet prohibit me from purchasing NerdWallet securities on margin or holding them in a margin account?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lineRule="auto" w:line="288" w:before="0" w:after="240"/>
        <w:jc w:val="both"/>
        <w:rPr/>
      </w:pPr>
      <w:r>
        <w:rPr>
          <w:rFonts w:ascii="Times New Roman;sans-serif" w:hAnsi="Times New Roman;sans-serif"/>
          <w:b/>
          <w:color w:val="000000"/>
          <w:sz w:val="22"/>
        </w:rPr>
        <w:t>19.    </w:t>
      </w:r>
      <w:r>
        <w:rPr>
          <w:rFonts w:ascii="Times New Roman;sans-serif" w:hAnsi="Times New Roman;sans-serif"/>
          <w:b/>
          <w:i/>
          <w:color w:val="000000"/>
          <w:sz w:val="22"/>
        </w:rPr>
        <w:t>Can I pledge my NerdWallet shares as collateral for a personal loan?</w:t>
      </w:r>
    </w:p>
    <w:p>
      <w:pPr>
        <w:pStyle w:val="TextBody"/>
        <w:bidi w:val="0"/>
        <w:spacing w:lineRule="auto" w:line="288"/>
        <w:jc w:val="both"/>
        <w:rPr/>
      </w:pPr>
      <w:r>
        <w:rPr>
          <w:color w:val="000000"/>
        </w:rPr>
        <w:t>    </w:t>
      </w:r>
      <w:r>
        <w:rPr>
          <w:rFonts w:ascii="Times New Roman;sans-serif" w:hAnsi="Times New Roman;sans-serif"/>
          <w:b/>
          <w:color w:val="000000"/>
          <w:sz w:val="22"/>
        </w:rPr>
        <w:t>A:</w:t>
      </w:r>
      <w:r>
        <w:rPr>
          <w:color w:val="000000"/>
        </w:rPr>
        <w:t xml:space="preserve"> </w:t>
      </w:r>
      <w:r>
        <w:rPr>
          <w:rFonts w:ascii="Times New Roman;sans-serif" w:hAnsi="Times New Roman;sans-serif"/>
          <w:b w:val="false"/>
          <w:color w:val="000000"/>
          <w:sz w:val="22"/>
        </w:rPr>
        <w:t xml:space="preserve">No. Pledging your shares as collateral for a personal loan could cause the pledgee to transfer your shares during a trading blackout period or when you are otherwise aware of material nonpublic information. As a result, you may not pledge your shares as collateral for a loan.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44805"/>
                <wp:effectExtent l="0" t="0" r="0" b="0"/>
                <wp:wrapNone/>
                <wp:docPr id="113" name="Frame112"/>
                <a:graphic xmlns:a="http://schemas.openxmlformats.org/drawingml/2006/main">
                  <a:graphicData uri="http://schemas.microsoft.com/office/word/2010/wordprocessingShape">
                    <wps:wsp>
                      <wps:cNvSpPr txBox="1"/>
                      <wps:spPr>
                        <a:xfrm>
                          <a:off x="0" y="0"/>
                          <a:ext cx="6480175" cy="34480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12</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2"/>
        </w:rPr>
        <w:t>20.    </w:t>
      </w:r>
      <w:r>
        <w:rPr>
          <w:rFonts w:ascii="Times New Roman;sans-serif" w:hAnsi="Times New Roman;sans-serif"/>
          <w:b/>
          <w:i/>
          <w:color w:val="000000"/>
          <w:sz w:val="22"/>
        </w:rPr>
        <w:t xml:space="preserve">Can I hedge my ownership position in NerdWallet? </w:t>
      </w:r>
    </w:p>
    <w:p>
      <w:pPr>
        <w:pStyle w:val="TextBody"/>
        <w:bidi w:val="0"/>
        <w:spacing w:lineRule="auto" w:line="288" w:before="0" w:after="240"/>
        <w:ind w:left="0" w:right="0" w:firstLine="720"/>
        <w:jc w:val="both"/>
        <w:rPr/>
      </w:pPr>
      <w:r>
        <w:rPr>
          <w:rFonts w:ascii="Times New Roman;sans-serif" w:hAnsi="Times New Roman;sans-serif"/>
          <w:b/>
          <w:color w:val="000000"/>
          <w:sz w:val="22"/>
        </w:rPr>
        <w:t>A:</w:t>
      </w:r>
      <w:r>
        <w:rPr>
          <w:color w:val="000000"/>
        </w:rPr>
        <w:t xml:space="preserve"> </w:t>
      </w:r>
      <w:r>
        <w:rPr>
          <w:rFonts w:ascii="Times New Roman;sans-serif" w:hAnsi="Times New Roman;sans-serif"/>
          <w:b w:val="false"/>
          <w:color w:val="000000"/>
          <w:sz w:val="22"/>
        </w:rPr>
        <w:t>Hedging or monetization transactions, including through the use of financial instruments such as prepaid variable forwards, equity swaps, collars and exchange funds are prohibited by our insider trading policy. Since such hedging transactions allow you to continue to own NerdWallet’s securities obtained through employee benefit plans or otherwise, but without the full risks and rewards of ownership, you may no longer have the same objectives as NerdWallet’s other shareholders. Therefore, our insider trading policy prohibits you from engaging in any such transactions.</w:t>
      </w:r>
    </w:p>
    <w:p>
      <w:pPr>
        <w:pStyle w:val="TextBody"/>
        <w:bidi w:val="0"/>
        <w:spacing w:lineRule="auto" w:line="288" w:before="0" w:after="240"/>
        <w:jc w:val="both"/>
        <w:rPr/>
      </w:pPr>
      <w:r>
        <w:rPr>
          <w:rFonts w:ascii="Times New Roman;sans-serif" w:hAnsi="Times New Roman;sans-serif"/>
          <w:b/>
          <w:color w:val="000000"/>
          <w:sz w:val="22"/>
        </w:rPr>
        <w:t>21.    </w:t>
      </w:r>
      <w:r>
        <w:rPr>
          <w:rFonts w:ascii="Times New Roman;sans-serif" w:hAnsi="Times New Roman;sans-serif"/>
          <w:b/>
          <w:i/>
          <w:color w:val="000000"/>
          <w:sz w:val="22"/>
        </w:rPr>
        <w:t>Can I exercise options granted to me under NerdWallet’s equity compensation plans during a trading blackout period or when I possess material nonpublic information?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effect a broker-assisted cashless exercise (these cashless exercise transactions include a market sale) during a trading blackout period or any time that you are aware of material nonpublic information</w:t>
      </w:r>
    </w:p>
    <w:p>
      <w:pPr>
        <w:pStyle w:val="TextBody"/>
        <w:bidi w:val="0"/>
        <w:spacing w:lineRule="auto" w:line="288" w:before="0" w:after="240"/>
        <w:jc w:val="both"/>
        <w:rPr/>
      </w:pPr>
      <w:r>
        <w:rPr>
          <w:rFonts w:ascii="Times New Roman;sans-serif" w:hAnsi="Times New Roman;sans-serif"/>
          <w:b/>
          <w:color w:val="000000"/>
          <w:sz w:val="22"/>
        </w:rPr>
        <w:t>22.    </w:t>
      </w:r>
      <w:r>
        <w:rPr>
          <w:rFonts w:ascii="Times New Roman;sans-serif" w:hAnsi="Times New Roman;sans-serif"/>
          <w:b/>
          <w:i/>
          <w:color w:val="000000"/>
          <w:sz w:val="22"/>
        </w:rPr>
        <w:t>Am I subject to trading blackout periods if I am no longer an employee or consultant of NerdWallet?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It depends. If your employment with NerdWallet ends during a trading blackout period, you will be subject to the remainder of that trading blackout period. If your employment with NerdWallet ends on a day that the trading window is open, you will not be subject to the next trading blackout period. However, even if you are not subject to our trading blackout period after you leave NerdWallet, you should not trade in NerdWallet securities if you are aware of material nonpublic information. That restriction stays with you as long as the information you possess is material and not publicly disseminated within the meaning of our insider trading policy. </w:t>
      </w:r>
    </w:p>
    <w:p>
      <w:pPr>
        <w:pStyle w:val="TextBody"/>
        <w:bidi w:val="0"/>
        <w:spacing w:lineRule="auto" w:line="288" w:before="0" w:after="240"/>
        <w:jc w:val="both"/>
        <w:rPr/>
      </w:pPr>
      <w:r>
        <w:rPr>
          <w:rFonts w:ascii="Times New Roman;sans-serif" w:hAnsi="Times New Roman;sans-serif"/>
          <w:b/>
          <w:color w:val="000000"/>
          <w:sz w:val="22"/>
        </w:rPr>
        <w:t>23.    </w:t>
      </w:r>
      <w:r>
        <w:rPr>
          <w:rFonts w:ascii="Times New Roman;sans-serif" w:hAnsi="Times New Roman;sans-serif"/>
          <w:b/>
          <w:i/>
          <w:color w:val="000000"/>
          <w:sz w:val="22"/>
        </w:rPr>
        <w:t>Can I gift stock while I possess material nonpublic information or during a trading blackout period?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It depends. Because of the potential for the appearance of impropriety, you may only make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gifts of our Class A common stock when you are aware of material nonpublic information or during a trading blackout period if (and only if) the gift has been pre-cleared by NerdWallet’s</w:t>
      </w:r>
      <w:r>
        <w:rPr>
          <w:color w:val="000000"/>
          <w:shd w:fill="FFFFFF" w:val="clear"/>
        </w:rPr>
        <w:t xml:space="preserve"> </w:t>
      </w:r>
      <w:r>
        <w:rPr>
          <w:rFonts w:ascii="Times New Roman;sans-serif" w:hAnsi="Times New Roman;sans-serif"/>
          <w:b w:val="false"/>
          <w:color w:val="000000"/>
          <w:sz w:val="22"/>
          <w:shd w:fill="FFFFFF" w:val="clear"/>
        </w:rPr>
        <w:t>General Counsel</w:t>
      </w:r>
      <w:r>
        <w:rPr>
          <w:color w:val="000000"/>
        </w:rPr>
        <w:t xml:space="preserve"> </w:t>
      </w:r>
      <w:r>
        <w:rPr>
          <w:rFonts w:ascii="Times New Roman;sans-serif" w:hAnsi="Times New Roman;sans-serif"/>
          <w:b w:val="false"/>
          <w:color w:val="000000"/>
          <w:sz w:val="22"/>
        </w:rPr>
        <w:t xml:space="preserve">or his or her designee. Whether a gift is truly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will depend on the facts and circumstances surrounding each gift.</w:t>
      </w:r>
    </w:p>
    <w:p>
      <w:pPr>
        <w:pStyle w:val="TextBody"/>
        <w:bidi w:val="0"/>
        <w:spacing w:lineRule="auto" w:line="288" w:before="0" w:after="240"/>
        <w:jc w:val="both"/>
        <w:rPr/>
      </w:pPr>
      <w:r>
        <w:rPr>
          <w:rFonts w:ascii="Times New Roman;sans-serif" w:hAnsi="Times New Roman;sans-serif"/>
          <w:b/>
          <w:color w:val="000000"/>
          <w:sz w:val="22"/>
        </w:rPr>
        <w:t>24.    </w:t>
      </w:r>
      <w:r>
        <w:rPr>
          <w:rFonts w:ascii="Times New Roman;sans-serif" w:hAnsi="Times New Roman;sans-serif"/>
          <w:b/>
          <w:i/>
          <w:color w:val="000000"/>
          <w:sz w:val="22"/>
        </w:rPr>
        <w:t>What if I purchased publicly traded options or other derivative securities before I became a NerdWallet employee or consultant?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The same rules apply as for employee stock options. You may exercise the publicly traded options at any time, but you may not sell the securities during a trading blackout period or at any time that you are aware of material nonpublic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44805"/>
                <wp:effectExtent l="0" t="0" r="0" b="0"/>
                <wp:wrapNone/>
                <wp:docPr id="114" name="Frame113"/>
                <a:graphic xmlns:a="http://schemas.openxmlformats.org/drawingml/2006/main">
                  <a:graphicData uri="http://schemas.microsoft.com/office/word/2010/wordprocessingShape">
                    <wps:wsp>
                      <wps:cNvSpPr txBox="1"/>
                      <wps:spPr>
                        <a:xfrm>
                          <a:off x="0" y="0"/>
                          <a:ext cx="6480175" cy="34480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13</w:t>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2"/>
        </w:rPr>
        <w:t>25.    </w:t>
      </w:r>
      <w:r>
        <w:rPr>
          <w:rFonts w:ascii="Times New Roman;sans-serif" w:hAnsi="Times New Roman;sans-serif"/>
          <w:b/>
          <w:i/>
          <w:color w:val="000000"/>
          <w:sz w:val="22"/>
        </w:rPr>
        <w:t xml:space="preserve">May I own shares of a mutual fund that invests in NerdWallet? </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Yes.</w:t>
      </w:r>
    </w:p>
    <w:p>
      <w:pPr>
        <w:pStyle w:val="TextBody"/>
        <w:bidi w:val="0"/>
        <w:spacing w:lineRule="auto" w:line="288" w:before="0" w:after="240"/>
        <w:jc w:val="both"/>
        <w:rPr/>
      </w:pPr>
      <w:r>
        <w:rPr>
          <w:rFonts w:ascii="Times New Roman;sans-serif" w:hAnsi="Times New Roman;sans-serif"/>
          <w:b/>
          <w:color w:val="000000"/>
          <w:sz w:val="22"/>
        </w:rPr>
        <w:t>26.    </w:t>
      </w:r>
      <w:r>
        <w:rPr>
          <w:rFonts w:ascii="Times New Roman;sans-serif" w:hAnsi="Times New Roman;sans-serif"/>
          <w:b/>
          <w:i/>
          <w:color w:val="000000"/>
          <w:sz w:val="22"/>
        </w:rPr>
        <w:t xml:space="preserve">Are mutual fund shares holding NerdWallet Class A common stock subject to the trading blackout periods? </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No. You may trade in mutual funds holding NerdWallet Class A common stock at any time.</w:t>
      </w:r>
    </w:p>
    <w:p>
      <w:pPr>
        <w:pStyle w:val="TextBody"/>
        <w:bidi w:val="0"/>
        <w:spacing w:lineRule="auto" w:line="288" w:before="0" w:after="240"/>
        <w:jc w:val="both"/>
        <w:rPr/>
      </w:pPr>
      <w:r>
        <w:rPr>
          <w:rFonts w:ascii="Times New Roman;sans-serif" w:hAnsi="Times New Roman;sans-serif"/>
          <w:b/>
          <w:color w:val="000000"/>
          <w:sz w:val="22"/>
        </w:rPr>
        <w:t>27.    </w:t>
      </w:r>
      <w:r>
        <w:rPr>
          <w:rFonts w:ascii="Times New Roman;sans-serif" w:hAnsi="Times New Roman;sans-serif"/>
          <w:b/>
          <w:i/>
          <w:color w:val="000000"/>
          <w:sz w:val="22"/>
        </w:rPr>
        <w:t>May I use a “routine trading program” or “10b5-1 plan”?</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Yes, subject to the requirements discussed in our insider trading policy and any 10b5-1 trading plan guidelines. A routine trading program, also known as a 10b5-1 plan, allows you to set up a highly structured program with your stockbroker where you specify ahead of time the date, price, and amount of securities to be traded. If you wish to create a 10b5-1 plan, please contact our legal team for approval at equity@nerdwallet.com.</w:t>
      </w:r>
    </w:p>
    <w:p>
      <w:pPr>
        <w:pStyle w:val="TextBody"/>
        <w:bidi w:val="0"/>
        <w:spacing w:lineRule="auto" w:line="288" w:before="0" w:after="240"/>
        <w:jc w:val="both"/>
        <w:rPr/>
      </w:pPr>
      <w:r>
        <w:rPr>
          <w:rFonts w:ascii="Times New Roman;sans-serif" w:hAnsi="Times New Roman;sans-serif"/>
          <w:b/>
          <w:color w:val="000000"/>
          <w:sz w:val="22"/>
        </w:rPr>
        <w:t>28.    </w:t>
      </w:r>
      <w:r>
        <w:rPr>
          <w:rFonts w:ascii="Times New Roman;sans-serif" w:hAnsi="Times New Roman;sans-serif"/>
          <w:b/>
          <w:i/>
          <w:color w:val="000000"/>
          <w:sz w:val="22"/>
        </w:rPr>
        <w:t>What happens if I violate our insider trading policy?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Violating our policies may result in disciplinary action, which may include termination of your employment or other relationship with NerdWallet. In addition, you may be subject to criminal and civil sanctions.</w:t>
      </w:r>
    </w:p>
    <w:p>
      <w:pPr>
        <w:pStyle w:val="TextBody"/>
        <w:bidi w:val="0"/>
        <w:spacing w:lineRule="auto" w:line="288" w:before="0" w:after="240"/>
        <w:jc w:val="both"/>
        <w:rPr/>
      </w:pPr>
      <w:r>
        <w:rPr>
          <w:rFonts w:ascii="Times New Roman;sans-serif" w:hAnsi="Times New Roman;sans-serif"/>
          <w:b/>
          <w:color w:val="000000"/>
          <w:sz w:val="22"/>
        </w:rPr>
        <w:t>29.    </w:t>
      </w:r>
      <w:r>
        <w:rPr>
          <w:rFonts w:ascii="Times New Roman;sans-serif" w:hAnsi="Times New Roman;sans-serif"/>
          <w:b/>
          <w:i/>
          <w:color w:val="000000"/>
          <w:sz w:val="22"/>
        </w:rPr>
        <w:t>Who should I contact if I have questions about our insider trading policy or specific trades?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val="false"/>
          <w:color w:val="000000"/>
          <w:sz w:val="22"/>
        </w:rPr>
        <w:t xml:space="preserve">You should contact our General Counsel at </w:t>
      </w:r>
      <w:r>
        <w:rPr>
          <w:rFonts w:ascii="Times New Roman;sans-serif" w:hAnsi="Times New Roman;sans-serif"/>
          <w:b w:val="false"/>
          <w:color w:val="0000FF"/>
          <w:sz w:val="22"/>
          <w:u w:val="single"/>
        </w:rPr>
        <w:t>generalcounsel@nerdwallet.com</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tbl>
      <w:tblPr>
        <w:tblW w:w="5818" w:type="dxa"/>
        <w:jc w:val="left"/>
        <w:tblInd w:w="0" w:type="dxa"/>
        <w:tblLayout w:type="fixed"/>
        <w:tblCellMar>
          <w:top w:w="28" w:type="dxa"/>
          <w:left w:w="28" w:type="dxa"/>
          <w:bottom w:w="28" w:type="dxa"/>
          <w:right w:w="28" w:type="dxa"/>
        </w:tblCellMar>
      </w:tblPr>
      <w:tblGrid>
        <w:gridCol w:w="663"/>
        <w:gridCol w:w="582"/>
        <w:gridCol w:w="584"/>
        <w:gridCol w:w="1167"/>
        <w:gridCol w:w="1167"/>
        <w:gridCol w:w="1655"/>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Revision History</w:t>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Date</w:t>
            </w:r>
          </w:p>
        </w:tc>
        <w:tc>
          <w:tcPr>
            <w:tcW w:w="3989" w:type="dxa"/>
            <w:gridSpan w:val="3"/>
            <w:tcBorders>
              <w:left w:val="single" w:sz="8" w:space="0" w:color="000000"/>
            </w:tcBorders>
            <w:tcMar>
              <w:top w:w="0" w:type="dxa"/>
              <w:left w:w="7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Description</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September 29, 2021</w:t>
            </w:r>
          </w:p>
        </w:tc>
        <w:tc>
          <w:tcPr>
            <w:tcW w:w="3989" w:type="dxa"/>
            <w:gridSpan w:val="3"/>
            <w:tcBorders>
              <w:top w:val="single" w:sz="8" w:space="0" w:color="000000"/>
              <w:left w:val="single" w:sz="8"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Policy and FAQs Approved</w:t>
            </w:r>
          </w:p>
        </w:tc>
      </w:tr>
      <w:tr>
        <w:trPr/>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September 2023</w:t>
            </w:r>
          </w:p>
        </w:tc>
        <w:tc>
          <w:tcPr>
            <w:tcW w:w="3989" w:type="dxa"/>
            <w:gridSpan w:val="3"/>
            <w:tcBorders>
              <w:top w:val="single" w:sz="8" w:space="0" w:color="000000"/>
              <w:left w:val="single" w:sz="8"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Policy and FAQs reviewed; no changes made</w:t>
            </w:r>
          </w:p>
        </w:tc>
      </w:tr>
      <w:tr>
        <w:trPr/>
        <w:tc>
          <w:tcPr>
            <w:tcW w:w="18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January 28, 2025</w:t>
            </w:r>
          </w:p>
        </w:tc>
        <w:tc>
          <w:tcPr>
            <w:tcW w:w="3989" w:type="dxa"/>
            <w:gridSpan w:val="3"/>
            <w:tcBorders>
              <w:top w:val="single" w:sz="4" w:space="0" w:color="000000"/>
              <w:left w:val="single" w:sz="8"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Policy and FAQs reviewed; no changes made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44805"/>
                <wp:effectExtent l="0" t="0" r="0" b="0"/>
                <wp:wrapNone/>
                <wp:docPr id="115" name="Frame114"/>
                <a:graphic xmlns:a="http://schemas.openxmlformats.org/drawingml/2006/main">
                  <a:graphicData uri="http://schemas.microsoft.com/office/word/2010/wordprocessingShape">
                    <wps:wsp>
                      <wps:cNvSpPr txBox="1"/>
                      <wps:spPr>
                        <a:xfrm>
                          <a:off x="0" y="0"/>
                          <a:ext cx="6480175" cy="344805"/>
                        </a:xfrm>
                        <a:prstGeom prst="rect"/>
                        <a:solidFill>
                          <a:srgbClr val="FFFFFF"/>
                        </a:solidFill>
                      </wps:spPr>
                      <wps:txb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14</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1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32" w:before="0" w:after="0"/>
                        <w:jc w:val="left"/>
                        <w:rPr>
                          <w:color w:val="000000"/>
                        </w:rPr>
                      </w:pPr>
                      <w:r>
                        <w:rPr>
                          <w:color w:val="000000"/>
                        </w:rPr>
                        <w:t>    </w:t>
                      </w:r>
                      <w:r>
                        <w:rPr>
                          <w:rFonts w:ascii="Arial;sans-serif" w:hAnsi="Arial;sans-serif"/>
                          <w:b w:val="false"/>
                          <w:color w:val="000000"/>
                          <w:sz w:val="20"/>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 No. 333-277195, No. 333-269946, No. 333-266087, No. 333-265197, and No. 333-260853 on Form S-8, Registration Statement No. 333-277193 on Form S-3, and Registration Statement No. 333-271587 on Form S-3ASR of our report dated February 19, 2025, relating to the financial statements of NerdWallet, Inc. appearing in this Annual Report on Form 10-K for the year ended December 31, 2024.</w:t>
      </w:r>
    </w:p>
    <w:p>
      <w:pPr>
        <w:pStyle w:val="TextBody"/>
        <w:bidi w:val="0"/>
        <w:spacing w:before="0" w:after="0"/>
        <w:jc w:val="left"/>
        <w:rPr/>
      </w:pPr>
      <w:r>
        <w:rPr/>
      </w:r>
    </w:p>
    <w:tbl>
      <w:tblPr>
        <w:tblW w:w="2625" w:type="dxa"/>
        <w:jc w:val="left"/>
        <w:tblInd w:w="0" w:type="dxa"/>
        <w:tblLayout w:type="fixed"/>
        <w:tblCellMar>
          <w:top w:w="28" w:type="dxa"/>
          <w:left w:w="28" w:type="dxa"/>
          <w:bottom w:w="28" w:type="dxa"/>
          <w:right w:w="28" w:type="dxa"/>
        </w:tblCellMar>
      </w:tblPr>
      <w:tblGrid>
        <w:gridCol w:w="839"/>
        <w:gridCol w:w="737"/>
        <w:gridCol w:w="1049"/>
      </w:tblGrid>
      <w:tr>
        <w:trPr/>
        <w:tc>
          <w:tcPr>
            <w:tcW w:w="8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 Jose, California</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19,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Tim Chen,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NerdWallet,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5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br/>
              <w:t>Chairman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Lauren StClair,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NerdWallet,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8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fiscal year ended December 31, 2024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545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br/>
              <w:t>Chairman of the Board of Directors</w:t>
            </w:r>
          </w:p>
        </w:tc>
      </w:tr>
    </w:tbl>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Lauren StClair, Chief Financial Officer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fiscal year ended December 31, 2024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448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5278/000162527822000089/exhibit21-mergeragreement.htm" TargetMode="External"/><Relationship Id="rId4" Type="http://schemas.openxmlformats.org/officeDocument/2006/relationships/hyperlink" Target="https://www.sec.gov/Archives/edgar/data/0001625278/000162828021022618/exhibit31-closing8xk.htm" TargetMode="External"/><Relationship Id="rId5" Type="http://schemas.openxmlformats.org/officeDocument/2006/relationships/hyperlink" Target="https://www.sec.gov/Archives/edgar/data/1625278/000162527824000141/exhibit31-certificateofame.htm" TargetMode="External"/><Relationship Id="rId6" Type="http://schemas.openxmlformats.org/officeDocument/2006/relationships/hyperlink" Target="https://www.sec.gov/Archives/edgar/data/0001625278/000162828021022618/exhibit32-closing8xk.htm" TargetMode="External"/><Relationship Id="rId7" Type="http://schemas.openxmlformats.org/officeDocument/2006/relationships/hyperlink" Target="https://www.sec.gov/Archives/edgar/data/1625278/000162527822000029/exhibit41-10xkfy21.htm" TargetMode="External"/><Relationship Id="rId8" Type="http://schemas.openxmlformats.org/officeDocument/2006/relationships/hyperlink" Target="https://www.sec.gov/Archives/edgar/data/1625278/000162527824000030/exhibit108-creditagreement.htm" TargetMode="External"/><Relationship Id="rId9" Type="http://schemas.openxmlformats.org/officeDocument/2006/relationships/hyperlink" Target="https://www.sec.gov/Archives/edgar/data/1625278/000162828021020344/exhibit1017-sx1a.htm" TargetMode="External"/><Relationship Id="rId10" Type="http://schemas.openxmlformats.org/officeDocument/2006/relationships/hyperlink" Target="https://www.sec.gov/Archives/edgar/data/1625278/000162828021020344/exhibit1017-sx1a.htm" TargetMode="External"/><Relationship Id="rId11" Type="http://schemas.openxmlformats.org/officeDocument/2006/relationships/hyperlink" Target="https://www.sec.gov/Archives/edgar/data/1625278/000162828021019876/exhibit106-sx1.htm" TargetMode="External"/><Relationship Id="rId12" Type="http://schemas.openxmlformats.org/officeDocument/2006/relationships/hyperlink" Target="https://www.sec.gov/Archives/edgar/data/1625278/000162828021019876/exhibit107-sx1.htm" TargetMode="External"/><Relationship Id="rId13" Type="http://schemas.openxmlformats.org/officeDocument/2006/relationships/hyperlink" Target="https://www.sec.gov/Archives/edgar/data/1625278/000162828021019876/exhibit108-sx1.htm" TargetMode="External"/><Relationship Id="rId14" Type="http://schemas.openxmlformats.org/officeDocument/2006/relationships/hyperlink" Target="https://www.sec.gov/Archives/edgar/data/1625278/000162527822000065/exhibit991-sx852522.htm" TargetMode="External"/><Relationship Id="rId15" Type="http://schemas.openxmlformats.org/officeDocument/2006/relationships/hyperlink" Target="https://www.sec.gov/Archives/edgar/data/0001625278/000162828021020521/exhibit1010-s1a2.htm" TargetMode="External"/><Relationship Id="rId16" Type="http://schemas.openxmlformats.org/officeDocument/2006/relationships/hyperlink" Target="https://www.sec.gov/Archives/edgar/data/0001625278/000162828021020521/exhibit1011-sx1a2.htm" TargetMode="External"/><Relationship Id="rId17" Type="http://schemas.openxmlformats.org/officeDocument/2006/relationships/hyperlink" Target="https://www.sec.gov/Archives/edgar/data/1625278/000162527823000034/exhibit101-psugrantwcoc.htm" TargetMode="External"/><Relationship Id="rId18" Type="http://schemas.openxmlformats.org/officeDocument/2006/relationships/hyperlink" Target="https://www.sec.gov/Archives/edgar/data/1625278/000162527822000107/exhibit991-nerdwalletinc20.htm" TargetMode="External"/><Relationship Id="rId19" Type="http://schemas.openxmlformats.org/officeDocument/2006/relationships/hyperlink" Target="https://www.sec.gov/Archives/edgar/data/1625278/000162527822000107/exhibit992-nerdwalletincfo.htm" TargetMode="External"/><Relationship Id="rId20" Type="http://schemas.openxmlformats.org/officeDocument/2006/relationships/hyperlink" Target="https://www.sec.gov/Archives/edgar/data/1625278/000162527822000107/exhibit993-nerdwalletincfo.htm" TargetMode="External"/><Relationship Id="rId21" Type="http://schemas.openxmlformats.org/officeDocument/2006/relationships/hyperlink" Target="https://www.sec.gov/Archives/edgar/data/0001625278/000162828021020521/exhibit1012-sx1a2.htm" TargetMode="External"/><Relationship Id="rId22" Type="http://schemas.openxmlformats.org/officeDocument/2006/relationships/hyperlink" Target="https://www.sec.gov/Archives/edgar/data/1625278/000162828021019876/exhibit1013-sx1.htm" TargetMode="External"/><Relationship Id="rId23" Type="http://schemas.openxmlformats.org/officeDocument/2006/relationships/hyperlink" Target="https://www.sec.gov/Archives/edgar/data/1625278/000162527823000034/exhibit102-changeofcontrol.htm" TargetMode="External"/><Relationship Id="rId24" Type="http://schemas.openxmlformats.org/officeDocument/2006/relationships/hyperlink" Target="https://www.sec.gov/Archives/edgar/data/1625278/000162828021019876/exhibit1021-sx1.htm" TargetMode="External"/><Relationship Id="rId25" Type="http://schemas.openxmlformats.org/officeDocument/2006/relationships/hyperlink" Target="https://www.sec.gov/Archives/edgar/data/1625278/000162828021019876/exhibit1017-sx1.htm" TargetMode="External"/><Relationship Id="rId26" Type="http://schemas.openxmlformats.org/officeDocument/2006/relationships/hyperlink" Target="https://www.sec.gov/Archives/edgar/data/1625278/000162527824000101/exhibit101-formofpsograntp.htm" TargetMode="External"/><Relationship Id="rId27" Type="http://schemas.openxmlformats.org/officeDocument/2006/relationships/hyperlink" Target="https://www.sec.gov/Archives/edgar/data/1625278/000162527824000162/exhibit101-nerdwalletjpmxs.htm" TargetMode="External"/><Relationship Id="rId28" Type="http://schemas.openxmlformats.org/officeDocument/2006/relationships/hyperlink" Target="https://www.sec.gov/Archives/edgar/data/1625278/000162527822000029/exhibit211-10xkfy21.htm" TargetMode="External"/><Relationship Id="rId29" Type="http://schemas.openxmlformats.org/officeDocument/2006/relationships/hyperlink" Target="https://www.sec.gov/Archives/edgar/data/1625278/000162527824000030/exhibit971-compensationrec.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64933</Words>
  <Characters>362217</Characters>
  <CharactersWithSpaces>424714</CharactersWithSpaces>
  <Paragraphs>3817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