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001-40994</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NerdWallet, Inc.</w:t>
      </w:r>
    </w:p>
    <w:p>
      <w:pPr>
        <w:pStyle w:val="TextBody"/>
        <w:spacing w:lineRule="auto" w:line="288" w:before="0" w:after="120"/>
        <w:jc w:val="center"/>
        <w:rPr>
          <w:rFonts w:ascii="Times New Roman;sans-serif" w:hAnsi="Times New Roman;sans-serif"/>
          <w:b w:val="false"/>
          <w:i/>
          <w:color w:val="000000"/>
          <w:sz w:val="19"/>
        </w:rPr>
      </w:pPr>
      <w:r>
        <w:rPr>
          <w:rFonts w:ascii="Times New Roman;sans-serif" w:hAnsi="Times New Roman;sans-serif"/>
          <w:b w:val="false"/>
          <w:i/>
          <w:color w:val="000000"/>
          <w:sz w:val="19"/>
        </w:rPr>
        <w:t>(Exact name of registrant as specified in its charter)</w:t>
      </w:r>
    </w:p>
    <w:tbl>
      <w:tblPr>
        <w:tblW w:w="8128" w:type="dxa"/>
        <w:jc w:val="left"/>
        <w:tblInd w:w="0" w:type="dxa"/>
        <w:tblCellMar>
          <w:top w:w="28" w:type="dxa"/>
          <w:left w:w="28" w:type="dxa"/>
          <w:bottom w:w="28" w:type="dxa"/>
          <w:right w:w="28" w:type="dxa"/>
        </w:tblCellMar>
      </w:tblPr>
      <w:tblGrid>
        <w:gridCol w:w="1848"/>
        <w:gridCol w:w="1623"/>
        <w:gridCol w:w="1643"/>
        <w:gridCol w:w="881"/>
        <w:gridCol w:w="881"/>
        <w:gridCol w:w="1252"/>
      </w:tblGrid>
      <w:tr>
        <w:trPr/>
        <w:tc>
          <w:tcPr>
            <w:tcW w:w="1848"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r>
      <w:tr>
        <w:trPr/>
        <w:tc>
          <w:tcPr>
            <w:tcW w:w="511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45-4180440</w:t>
            </w:r>
          </w:p>
        </w:tc>
      </w:tr>
      <w:tr>
        <w:trPr/>
        <w:tc>
          <w:tcPr>
            <w:tcW w:w="511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(State or other jurisdiction of incorporation or organization)</w:t>
            </w:r>
          </w:p>
        </w:tc>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(I.R.S. Employer Identification No.)</w:t>
            </w:r>
          </w:p>
        </w:tc>
      </w:tr>
    </w:tbl>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55 Hawthorne Street, 11th Floor, San Francisco, California 94105</w:t>
      </w:r>
    </w:p>
    <w:p>
      <w:pPr>
        <w:pStyle w:val="TextBody"/>
        <w:spacing w:lineRule="auto" w:line="288" w:before="0" w:after="120"/>
        <w:jc w:val="center"/>
        <w:rPr>
          <w:rFonts w:ascii="Times New Roman;sans-serif" w:hAnsi="Times New Roman;sans-serif"/>
          <w:b w:val="false"/>
          <w:i/>
          <w:color w:val="000000"/>
          <w:sz w:val="19"/>
        </w:rPr>
      </w:pPr>
      <w:r>
        <w:rPr>
          <w:rFonts w:ascii="Times New Roman;sans-serif" w:hAnsi="Times New Roman;sans-serif"/>
          <w:b w:val="false"/>
          <w:i/>
          <w:color w:val="000000"/>
          <w:sz w:val="19"/>
        </w:rPr>
        <w:t>(Address of principal executive offices) (Zip code)</w:t>
      </w:r>
    </w:p>
    <w:p>
      <w:pPr>
        <w:pStyle w:val="TextBody"/>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(415) 549-8913</w:t>
      </w:r>
    </w:p>
    <w:p>
      <w:pPr>
        <w:pStyle w:val="TextBody"/>
        <w:spacing w:lineRule="auto" w:line="288" w:before="0" w:after="120"/>
        <w:jc w:val="center"/>
        <w:rPr>
          <w:rFonts w:ascii="Times New Roman;sans-serif" w:hAnsi="Times New Roman;sans-serif"/>
          <w:b w:val="false"/>
          <w:i/>
          <w:color w:val="000000"/>
          <w:sz w:val="19"/>
        </w:rPr>
      </w:pPr>
      <w:r>
        <w:rPr>
          <w:rFonts w:ascii="Times New Roman;sans-serif" w:hAnsi="Times New Roman;sans-serif"/>
          <w:b w:val="false"/>
          <w:i/>
          <w:color w:val="000000"/>
          <w:sz w:val="19"/>
        </w:rPr>
        <w:t>(Registrant's telephone number, including area code)</w:t>
      </w:r>
    </w:p>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 xml:space="preserve">Securities registered pursuant to Section 12(b) of the Act: </w:t>
      </w:r>
    </w:p>
    <w:tbl>
      <w:tblPr>
        <w:tblW w:w="9014" w:type="dxa"/>
        <w:jc w:val="left"/>
        <w:tblInd w:w="0" w:type="dxa"/>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Title of each class</w:t>
            </w:r>
          </w:p>
        </w:tc>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Name of each exchange on which registered</w:t>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$0.0001 par value</w:t>
            </w:r>
          </w:p>
        </w:tc>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NRDS</w:t>
            </w:r>
          </w:p>
        </w:tc>
        <w:tc>
          <w:tcPr>
            <w:tcW w:w="38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Nasdaq Global Market</w:t>
            </w:r>
          </w:p>
        </w:tc>
      </w:tr>
    </w:tbl>
    <w:p>
      <w:pPr>
        <w:pStyle w:val="TextBody"/>
        <w:spacing w:lineRule="auto" w:line="288" w:before="0" w:after="120"/>
        <w:jc w:val="both"/>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 xml:space="preserve">No </w:t>
      </w:r>
    </w:p>
    <w:p>
      <w:pPr>
        <w:pStyle w:val="TextBody"/>
        <w:spacing w:lineRule="auto" w:line="288" w:before="0" w:after="120"/>
        <w:jc w:val="both"/>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 xml:space="preserve">No </w:t>
      </w:r>
    </w:p>
    <w:p>
      <w:pPr>
        <w:pStyle w:val="TextBody"/>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color w:val="000000"/>
              </w:rPr>
            </w:pPr>
            <w:r>
              <w:rPr>
                <w:color w:val="000000"/>
              </w:rPr>
              <w:t>☒</w:t>
            </w:r>
          </w:p>
        </w:tc>
      </w:tr>
    </w:tbl>
    <w:p>
      <w:pPr>
        <w:pStyle w:val="TextBody"/>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20"/>
        <w:rPr/>
      </w:pPr>
      <w:r>
        <w:rPr>
          <w:rFonts w:ascii="Times New Roman;sans-serif" w:hAnsi="Times New Roman;sans-serif"/>
          <w:b w:val="false"/>
          <w:color w:val="000000"/>
          <w:sz w:val="19"/>
        </w:rPr>
        <w:t xml:space="preserve">Indicate by check mark whether the registrant is a shell company (as defined in Rule 12b-2 of the Act). Yes ☐ No </w:t>
      </w:r>
      <w:r>
        <w:rPr>
          <w:color w:val="000000"/>
        </w:rPr>
        <w:t>☒</w:t>
      </w:r>
    </w:p>
    <w:p>
      <w:pPr>
        <w:pStyle w:val="TextBody"/>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 had outstanding 45,038,135 shares of Class A common stock and 31,685,652 shares of Class B common stock as of April 27, 2023.</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Index to Form 10-Q</w:t>
      </w:r>
    </w:p>
    <w:p>
      <w:pPr>
        <w:pStyle w:val="TextBody"/>
        <w:spacing w:before="0" w:after="180"/>
        <w:jc w:val="center"/>
        <w:rPr/>
      </w:pPr>
      <w:r>
        <w:rPr/>
      </w:r>
    </w:p>
    <w:tbl>
      <w:tblPr>
        <w:tblW w:w="9059" w:type="dxa"/>
        <w:jc w:val="center"/>
        <w:tblInd w:w="0" w:type="dxa"/>
        <w:tblCellMar>
          <w:top w:w="28" w:type="dxa"/>
          <w:left w:w="28" w:type="dxa"/>
          <w:bottom w:w="28" w:type="dxa"/>
          <w:right w:w="28" w:type="dxa"/>
        </w:tblCellMar>
      </w:tblPr>
      <w:tblGrid>
        <w:gridCol w:w="141"/>
        <w:gridCol w:w="124"/>
        <w:gridCol w:w="124"/>
        <w:gridCol w:w="264"/>
        <w:gridCol w:w="264"/>
        <w:gridCol w:w="266"/>
        <w:gridCol w:w="2453"/>
        <w:gridCol w:w="2453"/>
        <w:gridCol w:w="2459"/>
        <w:gridCol w:w="149"/>
        <w:gridCol w:w="149"/>
        <w:gridCol w:w="213"/>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18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183" w:type="dxa"/>
            <w:gridSpan w:val="6"/>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3">
              <w:r>
                <w:rPr>
                  <w:rStyle w:val="InternetLink"/>
                  <w:rFonts w:ascii="Times New Roman;sans-serif" w:hAnsi="Times New Roman;sans-serif"/>
                  <w:b/>
                  <w:color w:val="0000FF"/>
                  <w:sz w:val="20"/>
                  <w:u w:val="single"/>
                </w:rPr>
                <w:t>PART 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6">
              <w:r>
                <w:rPr>
                  <w:rStyle w:val="InternetLink"/>
                  <w:rFonts w:ascii="Times New Roman;sans-serif" w:hAnsi="Times New Roman;sans-serif"/>
                  <w:b w:val="false"/>
                  <w:color w:val="0000FF"/>
                  <w:sz w:val="20"/>
                  <w:u w:val="singl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6">
              <w:r>
                <w:rPr>
                  <w:rStyle w:val="InternetLink"/>
                  <w:rFonts w:ascii="Times New Roman;sans-serif" w:hAnsi="Times New Roman;sans-serif"/>
                  <w:b w:val="false"/>
                  <w:color w:val="0000FF"/>
                  <w:sz w:val="20"/>
                  <w:u w:val="single"/>
                </w:rPr>
                <w:t>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6">
              <w:r>
                <w:rPr>
                  <w:rStyle w:val="InternetLink"/>
                  <w:rFonts w:ascii="Times New Roman;sans-serif" w:hAnsi="Times New Roman;sans-serif"/>
                  <w:b w:val="false"/>
                  <w:strike w:val="false"/>
                  <w:dstrike w:val="false"/>
                  <w:color w:val="000000"/>
                  <w:sz w:val="20"/>
                  <w:u w:val="none"/>
                  <w:effect w:val="none"/>
                </w:rPr>
                <w:t>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9">
              <w:r>
                <w:rPr>
                  <w:rStyle w:val="InternetLink"/>
                  <w:rFonts w:ascii="Times New Roman;sans-serif" w:hAnsi="Times New Roman;sans-serif"/>
                  <w:b w:val="false"/>
                  <w:strike w:val="false"/>
                  <w:dstrike w:val="false"/>
                  <w:color w:val="000000"/>
                  <w:sz w:val="20"/>
                  <w:u w:val="none"/>
                  <w:effect w:val="none"/>
                </w:rPr>
                <w:t>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22">
              <w:r>
                <w:rPr>
                  <w:rStyle w:val="InternetLink"/>
                  <w:rFonts w:ascii="Times New Roman;sans-serif" w:hAnsi="Times New Roman;sans-serif"/>
                  <w:b w:val="false"/>
                  <w:color w:val="0000FF"/>
                  <w:sz w:val="20"/>
                  <w:u w:val="single"/>
                </w:rPr>
                <w:t>Condensed 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22">
              <w:r>
                <w:rPr>
                  <w:rStyle w:val="InternetLink"/>
                  <w:rFonts w:ascii="Times New Roman;sans-serif" w:hAnsi="Times New Roman;sans-serif"/>
                  <w:b w:val="false"/>
                  <w:strike w:val="false"/>
                  <w:dstrike w:val="false"/>
                  <w:color w:val="000000"/>
                  <w:sz w:val="20"/>
                  <w:u w:val="none"/>
                  <w:effect w:val="none"/>
                </w:rPr>
                <w:t>4</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25">
              <w:r>
                <w:rPr>
                  <w:rStyle w:val="InternetLink"/>
                  <w:rFonts w:ascii="Times New Roman;sans-serif" w:hAnsi="Times New Roman;sans-serif"/>
                  <w:b w:val="false"/>
                  <w:color w:val="0000FF"/>
                  <w:sz w:val="20"/>
                  <w:u w:val="single"/>
                </w:rPr>
                <w:t>Condensed Consolidated Statements of Comprehensive Income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25">
              <w:r>
                <w:rPr>
                  <w:rStyle w:val="InternetLink"/>
                  <w:rFonts w:ascii="Times New Roman;sans-serif" w:hAnsi="Times New Roman;sans-serif"/>
                  <w:b w:val="false"/>
                  <w:strike w:val="false"/>
                  <w:dstrike w:val="false"/>
                  <w:color w:val="000000"/>
                  <w:sz w:val="20"/>
                  <w:u w:val="none"/>
                  <w:effect w:val="none"/>
                </w:rPr>
                <w:t>5</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70"/>
              <w:jc w:val="left"/>
              <w:rPr/>
            </w:pPr>
            <w:hyperlink w:anchor="i5dfc449e87824d1b9ef9412240700272_28">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28">
              <w:r>
                <w:rPr>
                  <w:rStyle w:val="InternetLink"/>
                  <w:rFonts w:ascii="Times New Roman;sans-serif" w:hAnsi="Times New Roman;sans-serif"/>
                  <w:b w:val="false"/>
                  <w:strike w:val="false"/>
                  <w:dstrike w:val="false"/>
                  <w:color w:val="000000"/>
                  <w:sz w:val="20"/>
                  <w:u w:val="none"/>
                  <w:effect w:val="none"/>
                </w:rPr>
                <w:t>6</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31">
              <w:r>
                <w:rPr>
                  <w:rStyle w:val="InternetLink"/>
                  <w:rFonts w:ascii="Times New Roman;sans-serif" w:hAnsi="Times New Roman;sans-serif"/>
                  <w:b w:val="false"/>
                  <w:strike w:val="false"/>
                  <w:dstrike w:val="false"/>
                  <w:color w:val="000000"/>
                  <w:sz w:val="20"/>
                  <w:u w:val="none"/>
                  <w:effect w:val="none"/>
                </w:rPr>
                <w:t>7</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34">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34">
              <w:r>
                <w:rPr>
                  <w:rStyle w:val="InternetLink"/>
                  <w:rFonts w:ascii="Times New Roman;sans-serif" w:hAnsi="Times New Roman;sans-serif"/>
                  <w:b w:val="false"/>
                  <w:strike w:val="false"/>
                  <w:dstrike w:val="false"/>
                  <w:color w:val="000000"/>
                  <w:sz w:val="20"/>
                  <w:u w:val="none"/>
                  <w:effect w:val="none"/>
                </w:rPr>
                <w:t>8</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73">
              <w:r>
                <w:rPr>
                  <w:rStyle w:val="InternetLink"/>
                  <w:rFonts w:ascii="Times New Roman;sans-serif" w:hAnsi="Times New Roman;sans-serif"/>
                  <w:b w:val="false"/>
                  <w:color w:val="0000FF"/>
                  <w:sz w:val="20"/>
                  <w:u w:val="singl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73">
              <w:r>
                <w:rPr>
                  <w:rStyle w:val="InternetLink"/>
                  <w:rFonts w:ascii="Times New Roman;sans-serif" w:hAnsi="Times New Roman;sans-serif"/>
                  <w:b w:val="false"/>
                  <w:strike w:val="false"/>
                  <w:dstrike w:val="false"/>
                  <w:color w:val="000000"/>
                  <w:sz w:val="20"/>
                  <w:u w:val="none"/>
                  <w:effect w:val="none"/>
                </w:rPr>
                <w:t>14</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09">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09">
              <w:r>
                <w:rPr>
                  <w:rStyle w:val="InternetLink"/>
                  <w:rFonts w:ascii="Times New Roman;sans-serif" w:hAnsi="Times New Roman;sans-serif"/>
                  <w:b w:val="false"/>
                  <w:strike w:val="false"/>
                  <w:dstrike w:val="false"/>
                  <w:color w:val="000000"/>
                  <w:sz w:val="20"/>
                  <w:u w:val="none"/>
                  <w:effect w:val="none"/>
                </w:rPr>
                <w:t>21</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12">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12">
              <w:r>
                <w:rPr>
                  <w:rStyle w:val="InternetLink"/>
                  <w:rFonts w:ascii="Times New Roman;sans-serif" w:hAnsi="Times New Roman;sans-serif"/>
                  <w:b w:val="false"/>
                  <w:strike w:val="false"/>
                  <w:dstrike w:val="false"/>
                  <w:color w:val="000000"/>
                  <w:sz w:val="20"/>
                  <w:u w:val="none"/>
                  <w:effect w:val="none"/>
                </w:rPr>
                <w:t>22</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3" w:type="dxa"/>
            <w:gridSpan w:val="6"/>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15">
              <w:r>
                <w:rPr>
                  <w:rStyle w:val="InternetLink"/>
                  <w:rFonts w:ascii="Times New Roman;sans-serif" w:hAnsi="Times New Roman;sans-serif"/>
                  <w:b/>
                  <w:color w:val="0000FF"/>
                  <w:sz w:val="20"/>
                  <w:u w:val="single"/>
                </w:rPr>
                <w:t>PART II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15">
              <w:r>
                <w:rPr>
                  <w:rStyle w:val="InternetLink"/>
                  <w:rFonts w:ascii="Times New Roman;sans-serif" w:hAnsi="Times New Roman;sans-serif"/>
                  <w:b/>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18">
              <w:r>
                <w:rPr>
                  <w:rStyle w:val="InternetLink"/>
                  <w:rFonts w:ascii="Times New Roman;sans-serif" w:hAnsi="Times New Roman;sans-serif"/>
                  <w:b w:val="false"/>
                  <w:color w:val="0000FF"/>
                  <w:sz w:val="20"/>
                  <w:u w:val="singl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18">
              <w:r>
                <w:rPr>
                  <w:rStyle w:val="InternetLink"/>
                  <w:rFonts w:ascii="Times New Roman;sans-serif" w:hAnsi="Times New Roman;sans-serif"/>
                  <w:b w:val="false"/>
                  <w:color w:val="0000FF"/>
                  <w:sz w:val="20"/>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18">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21">
              <w:r>
                <w:rPr>
                  <w:rStyle w:val="InternetLink"/>
                  <w:rFonts w:ascii="Times New Roman;sans-serif" w:hAnsi="Times New Roman;sans-serif"/>
                  <w:b w:val="false"/>
                  <w:color w:val="0000FF"/>
                  <w:sz w:val="20"/>
                  <w:u w:val="singl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21">
              <w:r>
                <w:rPr>
                  <w:rStyle w:val="InternetLink"/>
                  <w:rFonts w:ascii="Times New Roman;sans-serif" w:hAnsi="Times New Roman;sans-serif"/>
                  <w:b w:val="false"/>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21">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24">
              <w:r>
                <w:rPr>
                  <w:rStyle w:val="InternetLink"/>
                  <w:rFonts w:ascii="Times New Roman;sans-serif" w:hAnsi="Times New Roman;sans-serif"/>
                  <w:b w:val="false"/>
                  <w:color w:val="0000FF"/>
                  <w:sz w:val="20"/>
                  <w:u w:val="singl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24">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24">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27">
              <w:r>
                <w:rPr>
                  <w:rStyle w:val="InternetLink"/>
                  <w:rFonts w:ascii="Times New Roman;sans-serif" w:hAnsi="Times New Roman;sans-serif"/>
                  <w:b w:val="false"/>
                  <w:color w:val="0000FF"/>
                  <w:sz w:val="20"/>
                  <w:u w:val="singl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2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27">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30">
              <w:r>
                <w:rPr>
                  <w:rStyle w:val="InternetLink"/>
                  <w:rFonts w:ascii="Times New Roman;sans-serif" w:hAnsi="Times New Roman;sans-serif"/>
                  <w:b w:val="false"/>
                  <w:color w:val="0000FF"/>
                  <w:sz w:val="20"/>
                  <w:u w:val="singl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30">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30">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33">
              <w:r>
                <w:rPr>
                  <w:rStyle w:val="InternetLink"/>
                  <w:rFonts w:ascii="Times New Roman;sans-serif" w:hAnsi="Times New Roman;sans-serif"/>
                  <w:b w:val="false"/>
                  <w:color w:val="0000FF"/>
                  <w:sz w:val="20"/>
                  <w:u w:val="singl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33">
              <w:r>
                <w:rPr>
                  <w:rStyle w:val="InternetLink"/>
                  <w:rFonts w:ascii="Times New Roman;sans-serif" w:hAnsi="Times New Roman;sans-serif"/>
                  <w:b w:val="false"/>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33">
              <w:r>
                <w:rPr>
                  <w:rStyle w:val="InternetLink"/>
                  <w:rFonts w:ascii="Times New Roman;sans-serif" w:hAnsi="Times New Roman;sans-serif"/>
                  <w:b w:val="false"/>
                  <w:strike w:val="false"/>
                  <w:dstrike w:val="false"/>
                  <w:color w:val="000000"/>
                  <w:sz w:val="20"/>
                  <w:u w:val="none"/>
                  <w:effect w:val="none"/>
                </w:rPr>
                <w:t>23</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36">
              <w:r>
                <w:rPr>
                  <w:rStyle w:val="InternetLink"/>
                  <w:rFonts w:ascii="Times New Roman;sans-serif" w:hAnsi="Times New Roman;sans-serif"/>
                  <w:b w:val="false"/>
                  <w:color w:val="0000FF"/>
                  <w:sz w:val="20"/>
                  <w:u w:val="singl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5dfc449e87824d1b9ef9412240700272_136">
              <w:r>
                <w:rPr>
                  <w:rStyle w:val="InternetLink"/>
                  <w:rFonts w:ascii="Times New Roman;sans-serif" w:hAnsi="Times New Roman;sans-serif"/>
                  <w:b w:val="false"/>
                  <w:color w:val="0000FF"/>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36">
              <w:r>
                <w:rPr>
                  <w:rStyle w:val="InternetLink"/>
                  <w:rFonts w:ascii="Times New Roman;sans-serif" w:hAnsi="Times New Roman;sans-serif"/>
                  <w:b w:val="false"/>
                  <w:strike w:val="false"/>
                  <w:dstrike w:val="false"/>
                  <w:color w:val="000000"/>
                  <w:sz w:val="20"/>
                  <w:u w:val="none"/>
                  <w:effect w:val="none"/>
                </w:rPr>
                <w:t>24</w:t>
              </w:r>
            </w:hyperlink>
          </w:p>
        </w:tc>
      </w:tr>
      <w:tr>
        <w:trPr/>
        <w:tc>
          <w:tcPr>
            <w:tcW w:w="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48" w:type="dxa"/>
            <w:gridSpan w:val="9"/>
            <w:tcBorders/>
            <w:shd w:fill="auto" w:val="clear"/>
            <w:tcMar>
              <w:top w:w="0" w:type="dxa"/>
              <w:left w:w="0" w:type="dxa"/>
              <w:bottom w:w="0" w:type="dxa"/>
              <w:right w:w="0" w:type="dxa"/>
            </w:tcMar>
            <w:vAlign w:val="center"/>
          </w:tcPr>
          <w:p>
            <w:pPr>
              <w:pStyle w:val="TableContents"/>
              <w:spacing w:lineRule="auto" w:line="268" w:before="0" w:after="0"/>
              <w:jc w:val="both"/>
              <w:rPr/>
            </w:pPr>
            <w:hyperlink w:anchor="i5dfc449e87824d1b9ef9412240700272_139">
              <w:r>
                <w:rPr>
                  <w:rStyle w:val="InternetLink"/>
                  <w:rFonts w:ascii="Times New Roman;sans-serif" w:hAnsi="Times New Roman;sans-serif"/>
                  <w:b w:val="false"/>
                  <w:color w:val="0000FF"/>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5dfc449e87824d1b9ef9412240700272_139">
              <w:r>
                <w:rPr>
                  <w:rStyle w:val="InternetLink"/>
                  <w:rFonts w:ascii="Times New Roman;sans-serif" w:hAnsi="Times New Roman;sans-serif"/>
                  <w:b w:val="false"/>
                  <w:strike w:val="false"/>
                  <w:dstrike w:val="false"/>
                  <w:color w:val="000000"/>
                  <w:sz w:val="20"/>
                  <w:u w:val="none"/>
                  <w:effect w:val="none"/>
                </w:rPr>
                <w:t>25</w:t>
              </w:r>
            </w:hyperlink>
          </w:p>
        </w:tc>
      </w:tr>
    </w:tbl>
    <w:p>
      <w:pPr>
        <w:pStyle w:val="TextBody"/>
        <w:spacing w:before="0" w:after="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effect of macroeconomic developments, including but not limited to, inflation, rising interest rates, tightening credit markets and general macroeconomic uncertainty on our business results of operations, financial condition and stock price;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expectations regarding our future financial performance, including total revenue, cost of revenue, Adjusted EBITDA and Monthly Unique Users;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grow traffic and engagement on our platform;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expected returns on marketing investments and brand campaigns;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expectations about consumer demand for the products on our platform;</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convert users into Registered Users and improve repeat user rates;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convert consumers into matches with financial services partners;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grow within existing and new verticals;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expand geographically;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maintain and expand our relationships with our existing financial services partners and to identify new financial services partners;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build efficient and scalable technical capabilities to deliver personalized guidance and nudge users;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maintain and enhance our brand awareness and consumer trust;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generate high quality, engaging consumer resources;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adapt to the evolving financial interests of consumers;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compete with existing and new competitors in existing and new market verticals;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maintain the security and availability of our platform;</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identify, attract and retain highly skilled, diverse personnel;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stay in compliance with laws and regulations that currently apply or become applicable to our business;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the sufficiency of our cash, cash equivalents, and investments to meet our liquidity needs;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effectively manage our growth and expand our infrastructure and maintain our corporate culture; </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successfully identify, manage, and integrate any existing and potential acquisitions;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achieve expected synergies, accretive value and other benefits from completed acquisitions; and</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our share repurchase plan, including expectations regarding the amount, timing and manner of repurchases made under the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risks, uncertainties and other factors described elsewhere in this Quarterly Report on Form 10-Q, in Part I, Item 1A. Risk Factors in our Annual Report on Form 10-K for the year ended December 31, 2022,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v:rect>
            </w:pict>
          </mc:Fallback>
        </mc:AlternateConten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12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898"/>
        <w:gridCol w:w="2276"/>
        <w:gridCol w:w="2284"/>
        <w:gridCol w:w="109"/>
        <w:gridCol w:w="109"/>
        <w:gridCol w:w="109"/>
        <w:gridCol w:w="211"/>
        <w:gridCol w:w="631"/>
        <w:gridCol w:w="109"/>
        <w:gridCol w:w="109"/>
        <w:gridCol w:w="109"/>
        <w:gridCol w:w="109"/>
        <w:gridCol w:w="241"/>
        <w:gridCol w:w="722"/>
        <w:gridCol w:w="179"/>
      </w:tblGrid>
      <w:tr>
        <w:trPr/>
        <w:tc>
          <w:tcPr>
            <w:tcW w:w="2898"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 and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74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425.7</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stock—$0.0001 par value per share—296,686 shares authorized; 76,711 and 75,120 shares issued and outstanding as of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452.1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425.7</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913"/>
        <w:gridCol w:w="2339"/>
        <w:gridCol w:w="2351"/>
        <w:gridCol w:w="109"/>
        <w:gridCol w:w="109"/>
        <w:gridCol w:w="109"/>
        <w:gridCol w:w="211"/>
        <w:gridCol w:w="631"/>
        <w:gridCol w:w="109"/>
        <w:gridCol w:w="109"/>
        <w:gridCol w:w="109"/>
        <w:gridCol w:w="109"/>
        <w:gridCol w:w="211"/>
        <w:gridCol w:w="631"/>
        <w:gridCol w:w="155"/>
      </w:tblGrid>
      <w:tr>
        <w:trPr/>
        <w:tc>
          <w:tcPr>
            <w:tcW w:w="2913"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2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60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169.6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129.1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Used in Computing 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tbl>
      <w:tblPr>
        <w:tblW w:w="5600" w:type="dxa"/>
        <w:jc w:val="left"/>
        <w:tblInd w:w="0" w:type="dxa"/>
        <w:tblCellMar>
          <w:top w:w="28" w:type="dxa"/>
          <w:left w:w="28" w:type="dxa"/>
          <w:bottom w:w="28" w:type="dxa"/>
          <w:right w:w="28" w:type="dxa"/>
        </w:tblCellMar>
      </w:tblPr>
      <w:tblGrid>
        <w:gridCol w:w="1183"/>
        <w:gridCol w:w="1038"/>
        <w:gridCol w:w="1048"/>
        <w:gridCol w:w="109"/>
        <w:gridCol w:w="109"/>
        <w:gridCol w:w="109"/>
        <w:gridCol w:w="211"/>
        <w:gridCol w:w="406"/>
        <w:gridCol w:w="109"/>
        <w:gridCol w:w="109"/>
        <w:gridCol w:w="109"/>
        <w:gridCol w:w="109"/>
        <w:gridCol w:w="211"/>
        <w:gridCol w:w="586"/>
        <w:gridCol w:w="154"/>
      </w:tblGrid>
      <w:tr>
        <w:trPr/>
        <w:tc>
          <w:tcPr>
            <w:tcW w:w="118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before="0" w:after="120"/>
        <w:jc w:val="center"/>
        <w:rPr/>
      </w:pPr>
      <w:r>
        <w:rPr/>
      </w:r>
    </w:p>
    <w:tbl>
      <w:tblPr>
        <w:tblW w:w="10205" w:type="dxa"/>
        <w:jc w:val="left"/>
        <w:tblInd w:w="0" w:type="dxa"/>
        <w:tblCellMar>
          <w:top w:w="28" w:type="dxa"/>
          <w:left w:w="28" w:type="dxa"/>
          <w:bottom w:w="28" w:type="dxa"/>
          <w:right w:w="28" w:type="dxa"/>
        </w:tblCellMar>
      </w:tblPr>
      <w:tblGrid>
        <w:gridCol w:w="1005"/>
        <w:gridCol w:w="470"/>
        <w:gridCol w:w="472"/>
        <w:gridCol w:w="109"/>
        <w:gridCol w:w="109"/>
        <w:gridCol w:w="109"/>
        <w:gridCol w:w="368"/>
        <w:gridCol w:w="368"/>
        <w:gridCol w:w="196"/>
        <w:gridCol w:w="109"/>
        <w:gridCol w:w="109"/>
        <w:gridCol w:w="109"/>
        <w:gridCol w:w="211"/>
        <w:gridCol w:w="406"/>
        <w:gridCol w:w="109"/>
        <w:gridCol w:w="109"/>
        <w:gridCol w:w="109"/>
        <w:gridCol w:w="109"/>
        <w:gridCol w:w="235"/>
        <w:gridCol w:w="704"/>
        <w:gridCol w:w="121"/>
        <w:gridCol w:w="109"/>
        <w:gridCol w:w="109"/>
        <w:gridCol w:w="109"/>
        <w:gridCol w:w="399"/>
        <w:gridCol w:w="797"/>
        <w:gridCol w:w="207"/>
        <w:gridCol w:w="109"/>
        <w:gridCol w:w="109"/>
        <w:gridCol w:w="109"/>
        <w:gridCol w:w="275"/>
        <w:gridCol w:w="686"/>
        <w:gridCol w:w="142"/>
        <w:gridCol w:w="109"/>
        <w:gridCol w:w="109"/>
        <w:gridCol w:w="109"/>
        <w:gridCol w:w="225"/>
        <w:gridCol w:w="674"/>
        <w:gridCol w:w="173"/>
      </w:tblGrid>
      <w:tr>
        <w:trPr/>
        <w:tc>
          <w:tcPr>
            <w:tcW w:w="100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94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75,120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427.3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341.7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76,711</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445.5</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(83.0)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361.8</w:t>
            </w: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tbl>
      <w:tblPr>
        <w:tblW w:w="10205" w:type="dxa"/>
        <w:jc w:val="left"/>
        <w:tblInd w:w="0" w:type="dxa"/>
        <w:tblCellMar>
          <w:top w:w="28" w:type="dxa"/>
          <w:left w:w="28" w:type="dxa"/>
          <w:bottom w:w="28" w:type="dxa"/>
          <w:right w:w="28" w:type="dxa"/>
        </w:tblCellMar>
      </w:tblPr>
      <w:tblGrid>
        <w:gridCol w:w="993"/>
        <w:gridCol w:w="460"/>
        <w:gridCol w:w="462"/>
        <w:gridCol w:w="109"/>
        <w:gridCol w:w="109"/>
        <w:gridCol w:w="109"/>
        <w:gridCol w:w="368"/>
        <w:gridCol w:w="368"/>
        <w:gridCol w:w="196"/>
        <w:gridCol w:w="109"/>
        <w:gridCol w:w="109"/>
        <w:gridCol w:w="109"/>
        <w:gridCol w:w="211"/>
        <w:gridCol w:w="406"/>
        <w:gridCol w:w="109"/>
        <w:gridCol w:w="109"/>
        <w:gridCol w:w="109"/>
        <w:gridCol w:w="109"/>
        <w:gridCol w:w="236"/>
        <w:gridCol w:w="706"/>
        <w:gridCol w:w="122"/>
        <w:gridCol w:w="109"/>
        <w:gridCol w:w="109"/>
        <w:gridCol w:w="109"/>
        <w:gridCol w:w="407"/>
        <w:gridCol w:w="812"/>
        <w:gridCol w:w="211"/>
        <w:gridCol w:w="109"/>
        <w:gridCol w:w="109"/>
        <w:gridCol w:w="109"/>
        <w:gridCol w:w="275"/>
        <w:gridCol w:w="687"/>
        <w:gridCol w:w="143"/>
        <w:gridCol w:w="109"/>
        <w:gridCol w:w="109"/>
        <w:gridCol w:w="109"/>
        <w:gridCol w:w="225"/>
        <w:gridCol w:w="675"/>
        <w:gridCol w:w="171"/>
      </w:tblGrid>
      <w:tr>
        <w:trPr/>
        <w:tc>
          <w:tcPr>
            <w:tcW w:w="993"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vMerge w:val="restart"/>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66,722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331.6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(74.5)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257.6</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7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67,138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340.2</w:t>
            </w: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0.2</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(85.0)</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255.4</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lineRule="auto" w:line="288" w:before="240" w:after="60"/>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2805"/>
        <w:gridCol w:w="2396"/>
        <w:gridCol w:w="2432"/>
        <w:gridCol w:w="109"/>
        <w:gridCol w:w="109"/>
        <w:gridCol w:w="109"/>
        <w:gridCol w:w="211"/>
        <w:gridCol w:w="616"/>
        <w:gridCol w:w="109"/>
        <w:gridCol w:w="109"/>
        <w:gridCol w:w="109"/>
        <w:gridCol w:w="109"/>
        <w:gridCol w:w="211"/>
        <w:gridCol w:w="616"/>
        <w:gridCol w:w="155"/>
      </w:tblGrid>
      <w:tr>
        <w:trPr/>
        <w:tc>
          <w:tcPr>
            <w:tcW w:w="2805" w:type="dxa"/>
            <w:tcBorders/>
            <w:shd w:fill="auto" w:val="clear"/>
            <w:vAlign w:val="center"/>
          </w:tcPr>
          <w:p>
            <w:pPr>
              <w:pStyle w:val="TableContents"/>
              <w:spacing w:before="0" w:after="283"/>
              <w:rPr>
                <w:sz w:val="4"/>
                <w:szCs w:val="4"/>
              </w:rPr>
            </w:pPr>
            <w:r>
              <w:rPr>
                <w:sz w:val="4"/>
                <w:szCs w:val="4"/>
              </w:rPr>
            </w:r>
          </w:p>
        </w:tc>
        <w:tc>
          <w:tcPr>
            <w:tcW w:w="2396"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63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line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recorded in accounts payable and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recorded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 Related to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1.The Company and Basis of Presentation</w:t>
      </w:r>
    </w:p>
    <w:p>
      <w:pPr>
        <w:pStyle w:val="TextBody"/>
        <w:spacing w:lineRule="auto" w:line="288" w:before="0" w:after="180"/>
        <w:ind w:left="0" w:right="0" w:firstLine="360"/>
        <w:jc w:val="both"/>
        <w:rPr/>
      </w:pPr>
      <w:r>
        <w:rPr>
          <w:rFonts w:ascii="Times New Roman;sans-serif" w:hAnsi="Times New Roman;sans-serif"/>
          <w:b/>
          <w:color w:val="000000"/>
          <w:sz w:val="20"/>
        </w:rPr>
        <w:t>The Company—</w:t>
      </w:r>
      <w:r>
        <w:rPr>
          <w:rFonts w:ascii="Times New Roman;sans-serif" w:hAnsi="Times New Roman;sans-serif"/>
          <w:b w:val="false"/>
          <w:color w:val="000000"/>
          <w:sz w:val="20"/>
        </w:rPr>
        <w:t>NerdWallet, Inc., a Delaware corporation, was formed on December 29, 2011. NerdWallet, Inc. and its wholly-owned subsidiaries (collectively, the Company) provide consumer-driven advice about personal finance through its platform by connecting individuals and small and mid-sized businesses (SMBs) with providers of financial products.</w:t>
      </w:r>
    </w:p>
    <w:p>
      <w:pPr>
        <w:pStyle w:val="TextBody"/>
        <w:spacing w:lineRule="auto" w:line="288" w:before="0" w:after="180"/>
        <w:ind w:left="0" w:right="0" w:firstLine="360"/>
        <w:jc w:val="both"/>
        <w:rPr/>
      </w:pPr>
      <w:r>
        <w:rPr>
          <w:rFonts w:ascii="Times New Roman;sans-serif" w:hAnsi="Times New Roman;sans-serif"/>
          <w:b/>
          <w:color w:val="000000"/>
          <w:sz w:val="20"/>
        </w:rPr>
        <w:t>Basis of Presentation—</w:t>
      </w:r>
      <w:r>
        <w:rPr>
          <w:rFonts w:ascii="Times New Roman;sans-serif" w:hAnsi="Times New Roman;sans-serif"/>
          <w:b w:val="false"/>
          <w:color w:val="000000"/>
          <w:sz w:val="20"/>
        </w:rPr>
        <w:t xml:space="preserve">The accompanying unaudited interim condensed consolidated financial statements have been prepared in accordance with 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2022.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The results of operations for the three months ended March 31, 2023 are not necessarily indicative of the results to be expected for the full year or any other future period.</w:t>
      </w:r>
    </w:p>
    <w:p>
      <w:pPr>
        <w:pStyle w:val="TextBody"/>
        <w:spacing w:lineRule="auto" w:line="288" w:before="0" w:after="180"/>
        <w:ind w:left="0" w:right="0" w:firstLine="360"/>
        <w:jc w:val="both"/>
        <w:rPr/>
      </w:pPr>
      <w:r>
        <w:rPr>
          <w:rFonts w:ascii="Times New Roman;sans-serif" w:hAnsi="Times New Roman;sans-serif"/>
          <w:b/>
          <w:color w:val="000000"/>
          <w:sz w:val="20"/>
        </w:rPr>
        <w:t>Concentrations of Credit Risk—</w:t>
      </w: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$75.0 million and $75.4 million as of March 31, 2023 and December 31, 2022, respectively. Based on these facts, collectability of bank balances appears to be adequately assured.</w:t>
      </w:r>
    </w:p>
    <w:p>
      <w:pPr>
        <w:pStyle w:val="TextBody"/>
        <w:spacing w:lineRule="auto" w:line="288" w:before="0" w:after="180"/>
        <w:ind w:left="0" w:right="0" w:firstLine="360"/>
        <w:jc w:val="both"/>
        <w:rPr/>
      </w:pPr>
      <w:r>
        <w:rPr>
          <w:rFonts w:ascii="Times New Roman;sans-serif" w:hAnsi="Times New Roman;sans-serif"/>
          <w:b/>
          <w:color w:val="000000"/>
          <w:sz w:val="20"/>
        </w:rPr>
        <w:t>Significant Accounting Policies</w:t>
      </w:r>
      <w:r>
        <w:rPr>
          <w:color w:val="000000"/>
        </w:rPr>
        <w:t>—</w:t>
      </w:r>
      <w:r>
        <w:rPr>
          <w:rFonts w:ascii="Times New Roman;sans-serif" w:hAnsi="Times New Roman;sans-serif"/>
          <w:b w:val="false"/>
          <w:color w:val="000000"/>
          <w:sz w:val="20"/>
        </w:rPr>
        <w:t>During the three months ended March 31, 2023, there have been no material changes to the Company’s significant accounting policies as disclosed in Note 1–The Company and its Significant Accounting Policies in the notes to the consolidated financial statements in the Company’s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a disaggregation of the Company’s revenue based on product category:</w:t>
      </w:r>
    </w:p>
    <w:tbl>
      <w:tblPr>
        <w:tblW w:w="3876" w:type="dxa"/>
        <w:jc w:val="left"/>
        <w:tblInd w:w="0" w:type="dxa"/>
        <w:tblCellMar>
          <w:top w:w="28" w:type="dxa"/>
          <w:left w:w="28" w:type="dxa"/>
          <w:bottom w:w="28" w:type="dxa"/>
          <w:right w:w="28" w:type="dxa"/>
        </w:tblCellMar>
      </w:tblPr>
      <w:tblGrid>
        <w:gridCol w:w="472"/>
        <w:gridCol w:w="415"/>
        <w:gridCol w:w="418"/>
        <w:gridCol w:w="109"/>
        <w:gridCol w:w="109"/>
        <w:gridCol w:w="109"/>
        <w:gridCol w:w="211"/>
        <w:gridCol w:w="616"/>
        <w:gridCol w:w="109"/>
        <w:gridCol w:w="109"/>
        <w:gridCol w:w="109"/>
        <w:gridCol w:w="109"/>
        <w:gridCol w:w="211"/>
        <w:gridCol w:w="616"/>
        <w:gridCol w:w="154"/>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verticals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asset recorded within prepaid expenses and other current assets on the condensed consolidated balance sheet related to estimated variable consideration was $6.1 million and $5.8 million as of March 31, 2023 and December 31,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3.Fair Value Measurements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by level, within the fair value hierarchy are summarized as follows:</w:t>
      </w:r>
    </w:p>
    <w:tbl>
      <w:tblPr>
        <w:tblW w:w="9460" w:type="dxa"/>
        <w:jc w:val="left"/>
        <w:tblInd w:w="0" w:type="dxa"/>
        <w:tblCellMar>
          <w:top w:w="28" w:type="dxa"/>
          <w:left w:w="28" w:type="dxa"/>
          <w:bottom w:w="28" w:type="dxa"/>
          <w:right w:w="28" w:type="dxa"/>
        </w:tblCellMar>
      </w:tblPr>
      <w:tblGrid>
        <w:gridCol w:w="1486"/>
        <w:gridCol w:w="1304"/>
        <w:gridCol w:w="1319"/>
        <w:gridCol w:w="109"/>
        <w:gridCol w:w="109"/>
        <w:gridCol w:w="109"/>
        <w:gridCol w:w="280"/>
        <w:gridCol w:w="700"/>
        <w:gridCol w:w="145"/>
        <w:gridCol w:w="109"/>
        <w:gridCol w:w="109"/>
        <w:gridCol w:w="109"/>
        <w:gridCol w:w="265"/>
        <w:gridCol w:w="528"/>
        <w:gridCol w:w="138"/>
        <w:gridCol w:w="109"/>
        <w:gridCol w:w="109"/>
        <w:gridCol w:w="109"/>
        <w:gridCol w:w="278"/>
        <w:gridCol w:w="673"/>
        <w:gridCol w:w="145"/>
        <w:gridCol w:w="109"/>
        <w:gridCol w:w="109"/>
        <w:gridCol w:w="109"/>
        <w:gridCol w:w="211"/>
        <w:gridCol w:w="526"/>
        <w:gridCol w:w="154"/>
      </w:tblGrid>
      <w:tr>
        <w:trPr/>
        <w:tc>
          <w:tcPr>
            <w:tcW w:w="14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75.0</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77.0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9461" w:type="dxa"/>
        <w:jc w:val="left"/>
        <w:tblInd w:w="0" w:type="dxa"/>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278"/>
        <w:gridCol w:w="673"/>
        <w:gridCol w:w="145"/>
        <w:gridCol w:w="109"/>
        <w:gridCol w:w="109"/>
        <w:gridCol w:w="109"/>
        <w:gridCol w:w="211"/>
        <w:gridCol w:w="526"/>
        <w:gridCol w:w="154"/>
      </w:tblGrid>
      <w:tr>
        <w:trPr/>
        <w:tc>
          <w:tcPr>
            <w:tcW w:w="1483"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75.4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2.0</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Times New Roman;sans-serif" w:hAnsi="Times New Roman;sans-serif"/>
                <w:b/>
                <w:color w:val="000000"/>
                <w:sz w:val="20"/>
              </w:rPr>
              <w:t>77.4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consist entirely of contingent consideration, and the changes in fair value are as follows:</w:t>
      </w:r>
    </w:p>
    <w:tbl>
      <w:tblPr>
        <w:tblW w:w="6065" w:type="dxa"/>
        <w:jc w:val="left"/>
        <w:tblInd w:w="0" w:type="dxa"/>
        <w:tblCellMar>
          <w:top w:w="28" w:type="dxa"/>
          <w:left w:w="28" w:type="dxa"/>
          <w:bottom w:w="28" w:type="dxa"/>
          <w:right w:w="28" w:type="dxa"/>
        </w:tblCellMar>
      </w:tblPr>
      <w:tblGrid>
        <w:gridCol w:w="1337"/>
        <w:gridCol w:w="1176"/>
        <w:gridCol w:w="1191"/>
        <w:gridCol w:w="109"/>
        <w:gridCol w:w="109"/>
        <w:gridCol w:w="109"/>
        <w:gridCol w:w="211"/>
        <w:gridCol w:w="511"/>
        <w:gridCol w:w="109"/>
        <w:gridCol w:w="109"/>
        <w:gridCol w:w="109"/>
        <w:gridCol w:w="109"/>
        <w:gridCol w:w="211"/>
        <w:gridCol w:w="511"/>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Fundera Inc.’s revenue and profitability milestones for 2022 were achieved and the contingent consideration liability was recorded at the full payout amount. See Note 10–Subsequent Events for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4.Significant Condensed Consolidated Balance Sheet Components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includes capitalized software development costs, net of accumulated amortization, of $45.9 million and $43.9 million as of March 31, 2023 and December 31, 2022, respectively. The Company capitalized $8.6 million and $8.0 million of software development costs during the three months ended March 31, 2023 and 2022, respectively. The Company recorded amortization expense related to capitalized software development costs of $6.6 million and $4.9 million during the three months ended March 31, 2023 and 2022,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include operating lease liabilities of $3.2 million and $3.1 million, as of March 31, 2023 and December 31, 2022, respectively.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 includes operating lease liabilities of $8.8 million and $9.6 million as of March 31, 2023 and December 31,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5.    Business Combination</w:t>
      </w:r>
    </w:p>
    <w:p>
      <w:pPr>
        <w:pStyle w:val="TextBody"/>
        <w:spacing w:lineRule="auto" w:line="288" w:before="0" w:after="180"/>
        <w:ind w:left="0" w:right="0" w:firstLine="360"/>
        <w:jc w:val="both"/>
        <w:rPr/>
      </w:pPr>
      <w:r>
        <w:rPr>
          <w:rFonts w:ascii="Times New Roman;sans-serif" w:hAnsi="Times New Roman;sans-serif"/>
          <w:b/>
          <w:color w:val="000000"/>
          <w:sz w:val="20"/>
        </w:rPr>
        <w:t>On the Barrelhead, Inc.</w:t>
      </w:r>
      <w:r>
        <w:rPr>
          <w:color w:val="000000"/>
        </w:rPr>
        <w:t>—</w:t>
      </w:r>
      <w:r>
        <w:rPr>
          <w:rFonts w:ascii="Times New Roman;sans-serif" w:hAnsi="Times New Roman;sans-serif"/>
          <w:b w:val="false"/>
          <w:color w:val="000000"/>
          <w:sz w:val="20"/>
        </w:rPr>
        <w:t xml:space="preserve">On July 11, 2022, the Company completed the acquisition of On the Barrelhead, Inc. (OTB), a data-driven platform that provides consumers and </w:t>
      </w:r>
      <w:r>
        <w:rPr>
          <w:rFonts w:ascii="Times New Roman;sans-serif" w:hAnsi="Times New Roman;sans-serif"/>
          <w:b w:val="false"/>
          <w:color w:val="000000"/>
          <w:sz w:val="20"/>
          <w:highlight w:val="white"/>
        </w:rPr>
        <w:t>SMBs</w:t>
      </w:r>
      <w:r>
        <w:rPr>
          <w:color w:val="000000"/>
        </w:rPr>
        <w:t xml:space="preserve"> </w:t>
      </w:r>
      <w:r>
        <w:rPr>
          <w:rFonts w:ascii="Times New Roman;sans-serif" w:hAnsi="Times New Roman;sans-serif"/>
          <w:b w:val="false"/>
          <w:color w:val="000000"/>
          <w:sz w:val="20"/>
        </w:rPr>
        <w:t>with credit-driven product recommendations. See Note 5–Business Combinations in the notes to the consolidated financial statements in the Company’s Annual Report on Form 10-K for the year ended December 31, 2022 for further discussion on the acquisition of OTB.</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Financial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period.</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as follows:</w:t>
      </w:r>
    </w:p>
    <w:tbl>
      <w:tblPr>
        <w:tblW w:w="2937" w:type="dxa"/>
        <w:jc w:val="left"/>
        <w:tblInd w:w="0" w:type="dxa"/>
        <w:tblCellMar>
          <w:top w:w="28" w:type="dxa"/>
          <w:left w:w="28" w:type="dxa"/>
          <w:bottom w:w="28" w:type="dxa"/>
          <w:right w:w="28" w:type="dxa"/>
        </w:tblCellMar>
      </w:tblPr>
      <w:tblGrid>
        <w:gridCol w:w="347"/>
        <w:gridCol w:w="305"/>
        <w:gridCol w:w="308"/>
        <w:gridCol w:w="109"/>
        <w:gridCol w:w="109"/>
        <w:gridCol w:w="109"/>
        <w:gridCol w:w="355"/>
        <w:gridCol w:w="1036"/>
        <w:gridCol w:w="259"/>
      </w:tblGrid>
      <w:tr>
        <w:trPr/>
        <w:tc>
          <w:tcPr>
            <w:tcW w:w="34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not intended to present, or be indicative of, what the results of operations would have been for the combined company for the period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6.Commitments and Contingencies</w:t>
      </w:r>
    </w:p>
    <w:p>
      <w:pPr>
        <w:pStyle w:val="TextBody"/>
        <w:spacing w:lineRule="auto" w:line="288" w:before="0" w:after="180"/>
        <w:ind w:left="0" w:right="0" w:firstLine="360"/>
        <w:jc w:val="both"/>
        <w:rPr/>
      </w:pPr>
      <w:r>
        <w:rPr>
          <w:rFonts w:ascii="Times New Roman;sans-serif" w:hAnsi="Times New Roman;sans-serif"/>
          <w:b/>
          <w:color w:val="000000"/>
          <w:sz w:val="20"/>
        </w:rPr>
        <w:t>Commitments and Other Financial Arrangements</w:t>
      </w:r>
      <w:r>
        <w:rPr>
          <w:color w:val="000000"/>
        </w:rPr>
        <w:t>—</w:t>
      </w:r>
      <w:r>
        <w:rPr>
          <w:rFonts w:ascii="Times New Roman;sans-serif" w:hAnsi="Times New Roman;sans-serif"/>
          <w:b w:val="false"/>
          <w:color w:val="000000"/>
          <w:sz w:val="20"/>
        </w:rPr>
        <w:t xml:space="preserve">The Company has certain financial commitments and other arrangements including unused letters of credit and commitments under leases. As of March 31, 2023, there were no material changes to the Company’s commitments and other financial arrangements as disclosed in Note 8–Commitments and Contingencies in the notes to the consolidated financial statements in the Company’s Annual Report on Form 10-K for the year ended December 31, 2022. </w:t>
      </w:r>
    </w:p>
    <w:p>
      <w:pPr>
        <w:pStyle w:val="TextBody"/>
        <w:spacing w:lineRule="auto" w:line="288" w:before="0" w:after="180"/>
        <w:ind w:left="0" w:right="0" w:firstLine="360"/>
        <w:jc w:val="both"/>
        <w:rPr/>
      </w:pPr>
      <w:r>
        <w:rPr>
          <w:rFonts w:ascii="Times New Roman;sans-serif" w:hAnsi="Times New Roman;sans-serif"/>
          <w:b/>
          <w:color w:val="000000"/>
          <w:sz w:val="20"/>
        </w:rPr>
        <w:t>Litigation and Other Legal Matters</w:t>
      </w:r>
      <w:r>
        <w:rPr>
          <w:color w:val="000000"/>
        </w:rPr>
        <w:t>—</w:t>
      </w:r>
      <w:r>
        <w:rPr>
          <w:rFonts w:ascii="Times New Roman;sans-serif" w:hAnsi="Times New Roman;sans-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March 31, 2023 or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7.Stockholders’ Equity</w:t>
      </w:r>
    </w:p>
    <w:p>
      <w:pPr>
        <w:pStyle w:val="TextBody"/>
        <w:spacing w:lineRule="auto" w:line="288" w:before="0" w:after="180"/>
        <w:ind w:left="0" w:right="0" w:firstLine="360"/>
        <w:jc w:val="both"/>
        <w:rPr/>
      </w:pPr>
      <w:r>
        <w:rPr>
          <w:rFonts w:ascii="Times New Roman;sans-serif" w:hAnsi="Times New Roman;sans-serif"/>
          <w:b/>
          <w:color w:val="000000"/>
          <w:sz w:val="20"/>
        </w:rPr>
        <w:t>Equity Incentive Plans</w:t>
      </w:r>
      <w:r>
        <w:rPr>
          <w:color w:val="000000"/>
        </w:rPr>
        <w:t>—</w:t>
      </w:r>
      <w:r>
        <w:rPr>
          <w:rFonts w:ascii="Times New Roman;sans-serif" w:hAnsi="Times New Roman;sans-serif"/>
          <w:b w:val="false"/>
          <w:color w:val="000000"/>
          <w:sz w:val="20"/>
        </w:rPr>
        <w:t>The 2021 Equity Incentive Plan and the predecessor 2012 Equity Incentive Plan, both as amended, along with the 2022 Inducement Equity Incentive Plan (collectively, the Plans) comprise the equity incentive plans of the Company.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2023.</w:t>
      </w:r>
    </w:p>
    <w:p>
      <w:pPr>
        <w:pStyle w:val="TextBody"/>
        <w:spacing w:lineRule="auto" w:line="288" w:before="0" w:after="120"/>
        <w:ind w:left="0" w:right="0" w:firstLine="360"/>
        <w:jc w:val="both"/>
        <w:rPr/>
      </w:pPr>
      <w:r>
        <w:rPr>
          <w:rFonts w:ascii="Times New Roman;sans-serif" w:hAnsi="Times New Roman;sans-serif"/>
          <w:b/>
          <w:color w:val="000000"/>
          <w:sz w:val="20"/>
        </w:rPr>
        <w:t>Stock Options</w:t>
      </w:r>
      <w:r>
        <w:rPr>
          <w:color w:val="000000"/>
        </w:rPr>
        <w:t>—</w:t>
      </w:r>
      <w:r>
        <w:rPr>
          <w:rFonts w:ascii="Times New Roman;sans-serif" w:hAnsi="Times New Roman;sans-serif"/>
          <w:b w:val="false"/>
          <w:color w:val="000000"/>
          <w:sz w:val="20"/>
        </w:rPr>
        <w:t>A summary of the Company’s stock option activity for its Plans is as follows:</w:t>
      </w:r>
    </w:p>
    <w:tbl>
      <w:tblPr>
        <w:tblW w:w="10205" w:type="dxa"/>
        <w:jc w:val="left"/>
        <w:tblInd w:w="0" w:type="dxa"/>
        <w:tblCellMar>
          <w:top w:w="28" w:type="dxa"/>
          <w:left w:w="28" w:type="dxa"/>
          <w:bottom w:w="28" w:type="dxa"/>
          <w:right w:w="28" w:type="dxa"/>
        </w:tblCellMar>
      </w:tblPr>
      <w:tblGrid>
        <w:gridCol w:w="1316"/>
        <w:gridCol w:w="1156"/>
        <w:gridCol w:w="1159"/>
        <w:gridCol w:w="109"/>
        <w:gridCol w:w="109"/>
        <w:gridCol w:w="109"/>
        <w:gridCol w:w="372"/>
        <w:gridCol w:w="372"/>
        <w:gridCol w:w="374"/>
        <w:gridCol w:w="109"/>
        <w:gridCol w:w="109"/>
        <w:gridCol w:w="109"/>
        <w:gridCol w:w="331"/>
        <w:gridCol w:w="968"/>
        <w:gridCol w:w="172"/>
        <w:gridCol w:w="109"/>
        <w:gridCol w:w="109"/>
        <w:gridCol w:w="109"/>
        <w:gridCol w:w="490"/>
        <w:gridCol w:w="490"/>
        <w:gridCol w:w="491"/>
        <w:gridCol w:w="109"/>
        <w:gridCol w:w="109"/>
        <w:gridCol w:w="109"/>
        <w:gridCol w:w="289"/>
        <w:gridCol w:w="700"/>
        <w:gridCol w:w="217"/>
      </w:tblGrid>
      <w:tr>
        <w:trPr/>
        <w:tc>
          <w:tcPr>
            <w:tcW w:w="131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3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br/>
              <w:t>Stock Options</w:t>
              <w:b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Contractual Life</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br/>
              <w:t>(in millions)</w:t>
            </w:r>
          </w:p>
        </w:tc>
      </w:tr>
      <w:tr>
        <w:trPr/>
        <w:tc>
          <w:tcPr>
            <w:tcW w:w="3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3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3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37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was $12.4 million for the three months ended March 31, 2023.</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for the three months ended March 31, 2023. For the three months ended March 31, 2022, the per-share fair value of each stock option was determined on the date of grant using the following weighted-average assumptions:</w:t>
      </w:r>
    </w:p>
    <w:tbl>
      <w:tblPr>
        <w:tblW w:w="4106" w:type="dxa"/>
        <w:jc w:val="left"/>
        <w:tblInd w:w="0" w:type="dxa"/>
        <w:tblCellMar>
          <w:top w:w="28" w:type="dxa"/>
          <w:left w:w="28" w:type="dxa"/>
          <w:bottom w:w="28" w:type="dxa"/>
          <w:right w:w="28" w:type="dxa"/>
        </w:tblCellMar>
      </w:tblPr>
      <w:tblGrid>
        <w:gridCol w:w="772"/>
        <w:gridCol w:w="677"/>
        <w:gridCol w:w="680"/>
        <w:gridCol w:w="109"/>
        <w:gridCol w:w="109"/>
        <w:gridCol w:w="109"/>
        <w:gridCol w:w="335"/>
        <w:gridCol w:w="335"/>
        <w:gridCol w:w="980"/>
      </w:tblGrid>
      <w:tr>
        <w:trPr/>
        <w:tc>
          <w:tcPr>
            <w:tcW w:w="77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2022</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98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360"/>
        <w:jc w:val="both"/>
        <w:rPr/>
      </w:pPr>
      <w:r>
        <w:rPr>
          <w:rFonts w:ascii="Times New Roman;sans-serif" w:hAnsi="Times New Roman;sans-serif"/>
          <w:b/>
          <w:color w:val="000000"/>
          <w:sz w:val="20"/>
        </w:rPr>
        <w:t>Restricted Stock Units</w:t>
      </w:r>
      <w:r>
        <w:rPr>
          <w:color w:val="000000"/>
        </w:rPr>
        <w:t>—</w:t>
      </w:r>
      <w:r>
        <w:rPr>
          <w:rFonts w:ascii="Times New Roman;sans-serif" w:hAnsi="Times New Roman;sans-serif"/>
          <w:b w:val="false"/>
          <w:color w:val="000000"/>
          <w:sz w:val="20"/>
        </w:rPr>
        <w:t>A summary of the Company’s outstanding nonvested RSUs for its Plans is as follows:</w:t>
      </w:r>
    </w:p>
    <w:tbl>
      <w:tblPr>
        <w:tblW w:w="6504" w:type="dxa"/>
        <w:jc w:val="left"/>
        <w:tblInd w:w="0" w:type="dxa"/>
        <w:tblCellMar>
          <w:top w:w="28" w:type="dxa"/>
          <w:left w:w="28" w:type="dxa"/>
          <w:bottom w:w="28" w:type="dxa"/>
          <w:right w:w="28" w:type="dxa"/>
        </w:tblCellMar>
      </w:tblPr>
      <w:tblGrid>
        <w:gridCol w:w="1098"/>
        <w:gridCol w:w="965"/>
        <w:gridCol w:w="967"/>
        <w:gridCol w:w="109"/>
        <w:gridCol w:w="109"/>
        <w:gridCol w:w="109"/>
        <w:gridCol w:w="434"/>
        <w:gridCol w:w="434"/>
        <w:gridCol w:w="436"/>
        <w:gridCol w:w="109"/>
        <w:gridCol w:w="109"/>
        <w:gridCol w:w="109"/>
        <w:gridCol w:w="326"/>
        <w:gridCol w:w="951"/>
        <w:gridCol w:w="239"/>
      </w:tblGrid>
      <w:tr>
        <w:trPr/>
        <w:tc>
          <w:tcPr>
            <w:tcW w:w="109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br/>
              <w:t>(in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w:t>
              <w:br/>
              <w:t>Fair Value</w:t>
            </w:r>
          </w:p>
        </w:tc>
      </w:tr>
      <w:tr>
        <w:trPr/>
        <w:tc>
          <w:tcPr>
            <w:tcW w:w="30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Nonvested as of March 31, 2023</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0.2 million of target award RSUs with both service-based and performance-based conditions.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shares that vested under RSUs was $7.8 million during the three months ended March 31, 2023.</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0.2 million of target award RSUs with both service-based and performance-based conditions to certain employees of the Company. Recipients of these performance-based RSUs are eligible to earn between 0% and 200% of their target awards based upon the achievement of (i) an EBITDA-related metric and (ii) a revenue-related metric, both in fiscal year 2023, subject to certification of the attainment of the performance level. These performance-based RSUs are also subject to service-based vesting over a period of three years. Stock-based compensation for performance-based RSUs is recognized over the requisite service period using the accelerated attribution method based on an assessment of the probability of achieving the requisite performance metrics. The Company recognizes forfeitures as they occur for grantees who do not fulfill the service-based conditions.</w:t>
      </w:r>
    </w:p>
    <w:p>
      <w:pPr>
        <w:pStyle w:val="TextBody"/>
        <w:spacing w:lineRule="auto" w:line="288" w:before="0" w:after="180"/>
        <w:ind w:left="0" w:right="0" w:firstLine="360"/>
        <w:jc w:val="both"/>
        <w:rPr/>
      </w:pPr>
      <w:r>
        <w:rPr>
          <w:rFonts w:ascii="Times New Roman;sans-serif" w:hAnsi="Times New Roman;sans-serif"/>
          <w:b/>
          <w:color w:val="000000"/>
          <w:sz w:val="20"/>
        </w:rPr>
        <w:t>Employee Stock Purchase Plan</w:t>
      </w:r>
      <w:r>
        <w:rPr>
          <w:color w:val="000000"/>
        </w:rPr>
        <w:t>—</w:t>
      </w:r>
      <w:r>
        <w:rPr>
          <w:rFonts w:ascii="Times New Roman;sans-serif" w:hAnsi="Times New Roman;sans-serif"/>
          <w:b w:val="false"/>
          <w:color w:val="000000"/>
          <w:sz w:val="20"/>
        </w:rPr>
        <w:t>The terms of the Employee Stock Purchase Plan (ESPP) provide for automatic increases in the number of shares 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2023. Prior to capitalizing amounts related to software development costs, the Company recognized stock-based compensation related to the ESPP of $1.0 million and $1.3 million during the three months ended March 31, 2023 and 2022, respectively.</w:t>
      </w:r>
    </w:p>
    <w:p>
      <w:pPr>
        <w:pStyle w:val="TextBody"/>
        <w:spacing w:lineRule="auto" w:line="288" w:before="0" w:after="120"/>
        <w:ind w:left="0" w:right="0" w:firstLine="360"/>
        <w:jc w:val="both"/>
        <w:rPr/>
      </w:pPr>
      <w:r>
        <w:rPr>
          <w:rFonts w:ascii="Times New Roman;sans-serif" w:hAnsi="Times New Roman;sans-serif"/>
          <w:b/>
          <w:color w:val="000000"/>
          <w:sz w:val="20"/>
        </w:rPr>
        <w:t>Stock-Based Compensation</w:t>
      </w:r>
      <w:r>
        <w:rPr>
          <w:color w:val="000000"/>
        </w:rPr>
        <w:t>—</w:t>
      </w:r>
      <w:r>
        <w:rPr>
          <w:rFonts w:ascii="Times New Roman;sans-serif" w:hAnsi="Times New Roman;sans-serif"/>
          <w:b w:val="false"/>
          <w:color w:val="000000"/>
          <w:sz w:val="20"/>
        </w:rPr>
        <w:t>The Company recognized stock-based compensation under the Plans and ESPP as follows:</w:t>
      </w:r>
    </w:p>
    <w:tbl>
      <w:tblPr>
        <w:tblW w:w="4895" w:type="dxa"/>
        <w:jc w:val="left"/>
        <w:tblInd w:w="0" w:type="dxa"/>
        <w:tblCellMar>
          <w:top w:w="28" w:type="dxa"/>
          <w:left w:w="28" w:type="dxa"/>
          <w:bottom w:w="28" w:type="dxa"/>
          <w:right w:w="28" w:type="dxa"/>
        </w:tblCellMar>
      </w:tblPr>
      <w:tblGrid>
        <w:gridCol w:w="990"/>
        <w:gridCol w:w="870"/>
        <w:gridCol w:w="884"/>
        <w:gridCol w:w="109"/>
        <w:gridCol w:w="109"/>
        <w:gridCol w:w="109"/>
        <w:gridCol w:w="211"/>
        <w:gridCol w:w="406"/>
        <w:gridCol w:w="109"/>
        <w:gridCol w:w="109"/>
        <w:gridCol w:w="109"/>
        <w:gridCol w:w="109"/>
        <w:gridCol w:w="211"/>
        <w:gridCol w:w="406"/>
        <w:gridCol w:w="154"/>
      </w:tblGrid>
      <w:tr>
        <w:trPr/>
        <w:tc>
          <w:tcPr>
            <w:tcW w:w="99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stock-based compensation of $1.5 million and $1.4 million was capitalized related to software development costs during the three months ended March 31, 2023 and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8.Income Taxes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estimated annual effective tax rate which is adjusted for discrete items occurring during the periods presented. The primary difference between the Company’s effective tax rate and the statutory federal income tax rate is the full valuation allowance established on the Company’s federal, state and foreign deferred tax attributes. As of March 31, 2023 and December 31, 2022,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8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9.Net Income (Loss) Per Basic and Diluted Share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basic and diluted per share computations for net income (loss) attributable to common stockholders:</w:t>
      </w:r>
    </w:p>
    <w:tbl>
      <w:tblPr>
        <w:tblW w:w="8586" w:type="dxa"/>
        <w:jc w:val="left"/>
        <w:tblInd w:w="0" w:type="dxa"/>
        <w:tblCellMar>
          <w:top w:w="28" w:type="dxa"/>
          <w:left w:w="28" w:type="dxa"/>
          <w:bottom w:w="28" w:type="dxa"/>
          <w:right w:w="28" w:type="dxa"/>
        </w:tblCellMar>
      </w:tblPr>
      <w:tblGrid>
        <w:gridCol w:w="2221"/>
        <w:gridCol w:w="1960"/>
        <w:gridCol w:w="1969"/>
        <w:gridCol w:w="109"/>
        <w:gridCol w:w="109"/>
        <w:gridCol w:w="109"/>
        <w:gridCol w:w="211"/>
        <w:gridCol w:w="511"/>
        <w:gridCol w:w="109"/>
        <w:gridCol w:w="109"/>
        <w:gridCol w:w="109"/>
        <w:gridCol w:w="109"/>
        <w:gridCol w:w="211"/>
        <w:gridCol w:w="586"/>
        <w:gridCol w:w="154"/>
      </w:tblGrid>
      <w:tr>
        <w:trPr/>
        <w:tc>
          <w:tcPr>
            <w:tcW w:w="2221"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1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stock equivalents were excluded from the computation of diluted net income (loss) per share because including them would have been antidilutive:</w:t>
      </w:r>
    </w:p>
    <w:tbl>
      <w:tblPr>
        <w:tblW w:w="7800" w:type="dxa"/>
        <w:jc w:val="left"/>
        <w:tblInd w:w="0" w:type="dxa"/>
        <w:tblCellMar>
          <w:top w:w="28" w:type="dxa"/>
          <w:left w:w="28" w:type="dxa"/>
          <w:bottom w:w="28" w:type="dxa"/>
          <w:right w:w="28" w:type="dxa"/>
        </w:tblCellMar>
      </w:tblPr>
      <w:tblGrid>
        <w:gridCol w:w="2065"/>
        <w:gridCol w:w="1814"/>
        <w:gridCol w:w="1835"/>
        <w:gridCol w:w="109"/>
        <w:gridCol w:w="109"/>
        <w:gridCol w:w="109"/>
        <w:gridCol w:w="203"/>
        <w:gridCol w:w="203"/>
        <w:gridCol w:w="175"/>
        <w:gridCol w:w="175"/>
        <w:gridCol w:w="175"/>
        <w:gridCol w:w="175"/>
        <w:gridCol w:w="203"/>
        <w:gridCol w:w="203"/>
        <w:gridCol w:w="247"/>
      </w:tblGrid>
      <w:tr>
        <w:trPr/>
        <w:tc>
          <w:tcPr>
            <w:tcW w:w="2065"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7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10.Subsequent Events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the Company announced that its Board of Directors has authorized a plan (the Repurchase Plan) under which the Company may repurchase up to $20 million of the Company’s Class A common stock. Under the Repurchase Plan, shares of Class A common stock may be repurchased in the open market through privately negotiated transactions or otherwise. The Repurchase Plan does not have a fixed expiration date and does not obligate the Company to acquire any specific number of shares. The timing and terms of any repurchases under the Repurchase Plan will be at management’s discretion and depend on a variety of factors, including business, economic and market conditions, regulatory requirements, prevailing stock prices and other considerations.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28, 2023, the Company has paid $28.2 million of the contingent consideration related to the acquisition of Fundera, Inc. of $30.9 million as of March 31, 2023, with the remainder expected to be paid in May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clarity for all of life’s financial decisions.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is a world where everyone makes financial decisions with confidence.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(UK), Canada and Australia.</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Acquisition of On the Barrelhead, Inc.</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On July 11, 2022, we completed the acquisition of On the Barrelhead, Inc. (OTB), a data-driven platform that provides consumers and </w:t>
      </w:r>
      <w:r>
        <w:rPr>
          <w:rFonts w:ascii="Times New Roman;sans-serif" w:hAnsi="Times New Roman;sans-serif"/>
          <w:b w:val="false"/>
          <w:color w:val="000000"/>
          <w:sz w:val="20"/>
          <w:highlight w:val="white"/>
        </w:rPr>
        <w:t>small and mid-sized businesses (</w:t>
      </w:r>
      <w:r>
        <w:rPr>
          <w:rFonts w:ascii="Times New Roman;sans-serif" w:hAnsi="Times New Roman;sans-serif"/>
          <w:b w:val="false"/>
          <w:color w:val="000000"/>
          <w:sz w:val="20"/>
        </w:rPr>
        <w:t>SMBs) with credit-driven product recommendations. See Note 5</w:t>
      </w:r>
      <w:r>
        <w:rPr>
          <w:color w:val="000000"/>
        </w:rPr>
        <w:t>—</w:t>
      </w:r>
      <w:r>
        <w:rPr>
          <w:rFonts w:ascii="Times New Roman;sans-serif" w:hAnsi="Times New Roman;sans-serif"/>
          <w:b w:val="false"/>
          <w:color w:val="000000"/>
          <w:sz w:val="20"/>
        </w:rPr>
        <w:t>Business Combination in the notes to our condensed consolidated financial statements, and Note 5</w:t>
      </w:r>
      <w:r>
        <w:rPr>
          <w:color w:val="000000"/>
        </w:rPr>
        <w:t>—</w:t>
      </w:r>
      <w:r>
        <w:rPr>
          <w:rFonts w:ascii="Times New Roman;sans-serif" w:hAnsi="Times New Roman;sans-serif"/>
          <w:b w:val="false"/>
          <w:color w:val="000000"/>
          <w:sz w:val="20"/>
        </w:rPr>
        <w:t>Business Combinations in the notes to our consolidated financial statements in our Annual Report on Form 10-K for the year ended December 31, 2022, for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Key Operating Metric and Non-GAAP Financial Measure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we use to evaluate our business. </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Monthly Unique Users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23 million average MUUs for the three months ended March 31, 2023, which was up 7% compared to the three months ended March 31, 2022. We saw strong engagement in areas such as banking and travel products, and are also incorporating our acquisition of OTB in July 2022. Partially offsetting growth were declines from a continued challenging macroeconomic environment in both mortgages and investing. While we expect MUUs to grow over time, the metric may fluctuate from period to period based on economic conditions, trends in consumer behavior, and our strategic marketing decisions.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from continuing operations adjusted to exclude depreciation and amortization, interest income (expense), net, provision (benefit) for income taxes, and further exclude (1) losses (gains) on disposals of assets, (2) change in fair value of contingent consideration related to earnouts, (3) deferred compensation related to earnouts, (4) stock-based compensation, and (5) acquisition-related costs.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items are excluded from our Adjusted EBITDA measure because these items are non-cash in nature, or because the amount is not driven by core operating results and renders comparisons with prior periods less meaningful.</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certain recurring, non-cash charges, such as depreciation of property and equipment, amortization of intangible assets, and (losses) gains on disposals of assets. Although these are non-cash charges, the assets being depreciated and amortized may have to be replaced in the future, and Adjusted EBITDA does not reflect all cash requirements for such replacements or for new capital expenditure requirements;</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Operations—Results of Operations—Non-GAAP Financial Measure” for a reconciliation of Adjusted EBITDA to net income (loss), the most directly comparable financial measure calculated in accordance with GAAP.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results of operations for the periods presented. The following discussion should be read in conjunction with the condensed consolidated financial statements and related notes included elsewhere in this Quarterly Report on Form 10-Q. </w:t>
      </w:r>
    </w:p>
    <w:tbl>
      <w:tblPr>
        <w:tblW w:w="8180" w:type="dxa"/>
        <w:jc w:val="left"/>
        <w:tblInd w:w="0" w:type="dxa"/>
        <w:tblCellMar>
          <w:top w:w="28" w:type="dxa"/>
          <w:left w:w="28" w:type="dxa"/>
          <w:bottom w:w="28" w:type="dxa"/>
          <w:right w:w="28" w:type="dxa"/>
        </w:tblCellMar>
      </w:tblPr>
      <w:tblGrid>
        <w:gridCol w:w="2028"/>
        <w:gridCol w:w="1781"/>
        <w:gridCol w:w="1800"/>
        <w:gridCol w:w="109"/>
        <w:gridCol w:w="109"/>
        <w:gridCol w:w="109"/>
        <w:gridCol w:w="211"/>
        <w:gridCol w:w="616"/>
        <w:gridCol w:w="109"/>
        <w:gridCol w:w="109"/>
        <w:gridCol w:w="109"/>
        <w:gridCol w:w="109"/>
        <w:gridCol w:w="211"/>
        <w:gridCol w:w="616"/>
        <w:gridCol w:w="154"/>
      </w:tblGrid>
      <w:tr>
        <w:trPr/>
        <w:tc>
          <w:tcPr>
            <w:tcW w:w="2028"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as follows:</w:t>
      </w:r>
    </w:p>
    <w:tbl>
      <w:tblPr>
        <w:tblW w:w="4400" w:type="dxa"/>
        <w:jc w:val="left"/>
        <w:tblInd w:w="0" w:type="dxa"/>
        <w:tblCellMar>
          <w:top w:w="28" w:type="dxa"/>
          <w:left w:w="28" w:type="dxa"/>
          <w:bottom w:w="28" w:type="dxa"/>
          <w:right w:w="28" w:type="dxa"/>
        </w:tblCellMar>
      </w:tblPr>
      <w:tblGrid>
        <w:gridCol w:w="845"/>
        <w:gridCol w:w="742"/>
        <w:gridCol w:w="752"/>
        <w:gridCol w:w="109"/>
        <w:gridCol w:w="109"/>
        <w:gridCol w:w="109"/>
        <w:gridCol w:w="196"/>
        <w:gridCol w:w="376"/>
        <w:gridCol w:w="109"/>
        <w:gridCol w:w="109"/>
        <w:gridCol w:w="109"/>
        <w:gridCol w:w="109"/>
        <w:gridCol w:w="196"/>
        <w:gridCol w:w="376"/>
        <w:gridCol w:w="154"/>
      </w:tblGrid>
      <w:tr>
        <w:trPr/>
        <w:tc>
          <w:tcPr>
            <w:tcW w:w="84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March 31,</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condensed consolidated statements of operations as a percentage of revenue:</w:t>
      </w:r>
    </w:p>
    <w:tbl>
      <w:tblPr>
        <w:tblW w:w="8007" w:type="dxa"/>
        <w:jc w:val="left"/>
        <w:tblInd w:w="0" w:type="dxa"/>
        <w:tblCellMar>
          <w:top w:w="28" w:type="dxa"/>
          <w:left w:w="28" w:type="dxa"/>
          <w:bottom w:w="28" w:type="dxa"/>
          <w:right w:w="28" w:type="dxa"/>
        </w:tblCellMar>
      </w:tblPr>
      <w:tblGrid>
        <w:gridCol w:w="2027"/>
        <w:gridCol w:w="1782"/>
        <w:gridCol w:w="1801"/>
        <w:gridCol w:w="109"/>
        <w:gridCol w:w="109"/>
        <w:gridCol w:w="109"/>
        <w:gridCol w:w="233"/>
        <w:gridCol w:w="233"/>
        <w:gridCol w:w="317"/>
        <w:gridCol w:w="127"/>
        <w:gridCol w:w="127"/>
        <w:gridCol w:w="127"/>
        <w:gridCol w:w="233"/>
        <w:gridCol w:w="233"/>
        <w:gridCol w:w="440"/>
      </w:tblGrid>
      <w:tr>
        <w:trPr/>
        <w:tc>
          <w:tcPr>
            <w:tcW w:w="2027"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net income of $1.7 million for the three months ended March 31, 2023, as compared to a net loss of $10.5 million for the three months ended March 31, 2022. The change was mainly attributable to an increase of $40.5 million in revenue, partially offset by an increase of $32.2 million in expenses, primarily driven by increases of $25.6 million in sales and marketing expense, $2.3 million in general and administrative expense, and $2.1 million in research and development expense, as we continued to invest in our business. Additionally, we had an income tax benefit of $1.8 million for the three months ended March 31, 2023, as compared to an income tax provision of $1.2 million for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rPr/>
      </w:pPr>
      <w:r>
        <w:rPr>
          <w:rFonts w:ascii="Times New Roman;sans-serif" w:hAnsi="Times New Roman;sans-serif"/>
          <w:b/>
          <w:i/>
          <w:color w:val="000000"/>
          <w:sz w:val="20"/>
        </w:rPr>
        <w:t>Revenue</w:t>
      </w:r>
      <w:r>
        <w:rPr>
          <w:color w:val="000000"/>
        </w:rPr>
        <w:t xml:space="preserve"> </w:t>
      </w:r>
    </w:p>
    <w:tbl>
      <w:tblPr>
        <w:tblW w:w="6113" w:type="dxa"/>
        <w:jc w:val="left"/>
        <w:tblInd w:w="0" w:type="dxa"/>
        <w:tblCellMar>
          <w:top w:w="28" w:type="dxa"/>
          <w:left w:w="28" w:type="dxa"/>
          <w:bottom w:w="28" w:type="dxa"/>
          <w:right w:w="28" w:type="dxa"/>
        </w:tblCellMar>
      </w:tblPr>
      <w:tblGrid>
        <w:gridCol w:w="472"/>
        <w:gridCol w:w="415"/>
        <w:gridCol w:w="418"/>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09"/>
        <w:gridCol w:w="212"/>
        <w:gridCol w:w="376"/>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verticals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$40.5 million, or 31%, for the three months ended March 31, 2023 compared to the three months ended March 31, 2022, driven by strong growth in credit cards and other verticals revenues, partially offset by lower loans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cards revenue increased $16.1 million, or 36%, for the three months ended March 31, 2023, reflecting our ability to capitalize on higher consumer intent through improved user experiences combined with our deep alignment with our financial services partners to deliver quality matches.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Loans revenue decreased $12.3 million, or 36%, for the three months ended March 31, 2023, primarily due to decreases of 57% in mortgages revenue and 46% in student loans driven by higher interest rates and continuing macroeconomic headwinds, partially offset by an 8% increase in personal loans revenue incorporating our acquisition of OTB in July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verticals revenue increased $36.7 million, or 74%, for the three months ended March 31, 2023, driven by increases of 223% in banking revenue primarily due to the rising interest rate environment, 135% in insurance revenue primarily driven by auto insurance, and 19% in SMB products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360"/>
        <w:rPr/>
      </w:pPr>
      <w:r>
        <w:rPr>
          <w:rFonts w:ascii="Times New Roman;sans-serif" w:hAnsi="Times New Roman;sans-serif"/>
          <w:b/>
          <w:i/>
          <w:color w:val="000000"/>
          <w:sz w:val="20"/>
        </w:rPr>
        <w:t>Costs and Expenses</w:t>
      </w:r>
      <w:r>
        <w:rPr>
          <w:color w:val="000000"/>
        </w:rPr>
        <w:t xml:space="preserve"> </w:t>
      </w:r>
    </w:p>
    <w:tbl>
      <w:tblPr>
        <w:tblW w:w="10205" w:type="dxa"/>
        <w:jc w:val="left"/>
        <w:tblInd w:w="0" w:type="dxa"/>
        <w:tblCellMar>
          <w:top w:w="28" w:type="dxa"/>
          <w:left w:w="28" w:type="dxa"/>
          <w:bottom w:w="28" w:type="dxa"/>
          <w:right w:w="28" w:type="dxa"/>
        </w:tblCellMar>
      </w:tblPr>
      <w:tblGrid>
        <w:gridCol w:w="1925"/>
        <w:gridCol w:w="1685"/>
        <w:gridCol w:w="1686"/>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62"/>
        <w:gridCol w:w="264"/>
        <w:gridCol w:w="372"/>
      </w:tblGrid>
      <w:tr>
        <w:trPr/>
        <w:tc>
          <w:tcPr>
            <w:tcW w:w="192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5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52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7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72" w:type="dxa"/>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$6.1 million, or 78%, for the three months ended March 31, 2023 compared to the three months ended March 31, 2022, attributable to increases of $4.1 million in amortization expense related to intangible assets from our acquisition of OTB in July 2022 and capitalized software development costs, and $1.2 million primarily related to third-party service charges.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$2.1 million, or 12%, for the three months ended March 31, 2023 compared to the three months ended March 31, 2022, primarily attributable to an increase of $1.2 million in personnel-related costs for our engineering, data, and product management personnel and contractors to support our continued growth, and $0.6 million in software and technology costs related to our platform.</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our total sales and marketing expense was comprised of approximately 32% and 42% for brand marketing, respectively, and 46% and 35% for performance marketing, respectively, with the remainder for organic and other marketing expenses. We are able to adjust our marketing spend to reflect changes in external factors and consumer behavior.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$25.6 million, or 27%, for the three months ended March 31, 2023 compared to the three months ended March 31, 2022. The increase was attributable to increases of $22.1 million in performance marketing expenses, and $5.0 million in organic and other marketing expenses primarily due to higher personnel-related costs due to our efforts to grow and increase our user base, partially offset by a $1.5 million decrease in brand marketing expenses for the three months ended March 31, 2023.</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$2.3 million, or 19%, for the three months ended March 31, 2023 compared to the three months ended March 31, 2022, primarily attributable to an $1.8 million increase in personnel-related costs mainly due to higher stock-based compensation and increased headcount.</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 related to earnouts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contingent consideration relates to our acquisitions of Fundera, Inc. (Fundera) and Know Your Money (KYM) in 2020. The fair value of the estimated contingent considerations is subject to remeasurement at each reporting date until the payments are made. See Note 3–Fair Value Measurements in the notes to our condensed consolidated financial statements for further discussion regarding how we estimated the fair value of these contingent considerations.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073" w:type="dxa"/>
        <w:jc w:val="left"/>
        <w:tblInd w:w="0" w:type="dxa"/>
        <w:tblCellMar>
          <w:top w:w="28" w:type="dxa"/>
          <w:left w:w="28" w:type="dxa"/>
          <w:bottom w:w="28" w:type="dxa"/>
          <w:right w:w="28" w:type="dxa"/>
        </w:tblCellMar>
      </w:tblPr>
      <w:tblGrid>
        <w:gridCol w:w="1026"/>
        <w:gridCol w:w="900"/>
        <w:gridCol w:w="909"/>
        <w:gridCol w:w="109"/>
        <w:gridCol w:w="109"/>
        <w:gridCol w:w="109"/>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180"/>
        <w:gridCol w:w="181"/>
        <w:gridCol w:w="316"/>
      </w:tblGrid>
      <w:tr>
        <w:trPr/>
        <w:tc>
          <w:tcPr>
            <w:tcW w:w="1026"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for the three months ended March 31, 2023 as compared to the three months ended March 31, 2022 was primarily attributable to higher interest income.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tax provision (benefit)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an income tax benefit of $1.8 million for the three months ended March 31, 2023, as compared to an income tax provision of $1.2 million for the three months ended March 31, 2022. Our effective tax rate was 1,600.2% and (13.5%) for the three months ended March 31, 2023 and 2022, respectively, as compared to the U.S federal statutory income tax rate of 21%. Our effective tax rate for the three months ended March 31, 2023 was higher than the U.S. federal statutory income tax rate of 21% primarily due to excess tax benefits related to stock based compensation, partially offset by higher capitalization of research and development expenses under tax regulations effective in 2022 and a full valuation allowance recorded against our net U.S. deferred tax assets. Our effective tax rate for the three months ended March 31, 2022 was lower than the U.S. federal statutory income tax rate of 21% primarily due to higher capitalization of research and development expenses under tax regulations effective in 2022 and a full valuation allowance recorded against our net U.S. deferred tax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Non-GAAP Financial Measure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reconciling Adjusted EBITDA to net income (loss), the most comparable GAAP financial measure, as follows:</w:t>
      </w:r>
    </w:p>
    <w:tbl>
      <w:tblPr>
        <w:tblW w:w="8430" w:type="dxa"/>
        <w:jc w:val="left"/>
        <w:tblInd w:w="0" w:type="dxa"/>
        <w:tblCellMar>
          <w:top w:w="28" w:type="dxa"/>
          <w:left w:w="28" w:type="dxa"/>
          <w:bottom w:w="28" w:type="dxa"/>
          <w:right w:w="28" w:type="dxa"/>
        </w:tblCellMar>
      </w:tblPr>
      <w:tblGrid>
        <w:gridCol w:w="2027"/>
        <w:gridCol w:w="1782"/>
        <w:gridCol w:w="1801"/>
        <w:gridCol w:w="109"/>
        <w:gridCol w:w="109"/>
        <w:gridCol w:w="109"/>
        <w:gridCol w:w="211"/>
        <w:gridCol w:w="511"/>
        <w:gridCol w:w="271"/>
        <w:gridCol w:w="109"/>
        <w:gridCol w:w="109"/>
        <w:gridCol w:w="109"/>
        <w:gridCol w:w="211"/>
        <w:gridCol w:w="586"/>
        <w:gridCol w:w="376"/>
      </w:tblGrid>
      <w:tr>
        <w:trPr/>
        <w:tc>
          <w:tcPr>
            <w:tcW w:w="2027"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related to earnouts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7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7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Adjusted EBITDA margin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Adjusted EBITDA as a percentage of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Operations—Results of Operations” for a discussion of the decrease in net loss for the three months ended March 31, 2023 compared to the three months ended March 31, 2022.</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Adjusted EBITDA increased $12.0 million for the three months ended March 31, 2023 compared to the three months ended March 31, 2022. </w:t>
      </w:r>
      <w:r>
        <w:rPr>
          <w:rFonts w:ascii="Times New Roman;sans-serif" w:hAnsi="Times New Roman;sans-serif"/>
          <w:b w:val="false"/>
          <w:color w:val="000000"/>
          <w:sz w:val="20"/>
          <w:highlight w:val="white"/>
        </w:rPr>
        <w:t xml:space="preserve">The </w:t>
      </w:r>
      <w:r>
        <w:rPr>
          <w:rFonts w:ascii="Times New Roman;sans-serif" w:hAnsi="Times New Roman;sans-serif"/>
          <w:b w:val="false"/>
          <w:color w:val="000000"/>
          <w:sz w:val="20"/>
        </w:rPr>
        <w:t>increase was primarily attributable to $1.7 million of net income for the three months ended March 31, 2023 as compared to a net loss of $10.5 million for the three months ended March 31, 2022. Adjustments to reconcile Adjusted EBITDA to net income (loss) decreased $0.2 million, primarily attributable to decreases of $3.9 million for the change in fair value of contingent consideration related to earnouts and $3.0 million for income taxes, substantially offset by increases of $4.5 million for depreciation and amortization and $2.1 million for stock-based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to meet our business requirements and plans, both in the short-term (i.e., the next twelve months from March 31, 2023) and long-term (i.e., beyond the next twelve months), have historically been cash generated from operations and, more recently, sales of our common stock, and borrowings under our credit facilities. Our primary liquidity needs are related to the funding of general corporate requirements, including working capital, research and development, and capital expenditures, as well as other liquidity requirements including, but not limited to, business combinations.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we had cash and cash equivalents of $100.8 million and $83.9 million, respectively.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contractual commitments as of March 31, 2023 is included in Note 8–Commitments and Contingencies in the notes to our condensed consolidated financial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three months ended March 31, 2023, there have been no material changes in our purchase obligations as disclosed in “Management’s Discussion and Analysis of Financial Condition and Results of Operations–Liquidity and Capital Resources” in our Annual Report on Form 10-K for the year ended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part of the acquisitions of KYM and Fundera, both in 2020, we committed to pay additional amounts of up to $11 million and $66 million, respectively, related to contingent earnout consideration over the succeeding years based, in part, on the achievement of certain financial metrics related to 2021 and 2022. As of March 31, 2023 and December 31, 2022, Fundera’s revenue and profitability milestones for 2022 have been achieved and the contingent consideration liability was recorded at the full payout amount of $30.9 million (see Note 3–Fair Value Measurements in the notes to our condensed consolidated financial statements). As of April 28, 2023, we have paid $28.2 million of the contingent consideration of $30.9 million as of March 31, 2023, with the remainder expected to be paid in May 2023.</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Trends, Uncertainties and Anticipated Sources of Funds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grow our business, we expect to increase our personnel and related expenses and to make significant investments in our business.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current cash and cash equivalents and future cash flow from operations, as well as access to our credit facility with First-Citizens Bank &amp; Trust Company (through its Silicon Valley Bank division) and certain other lenders, subject to customary borrowing conditions, will be sufficient to meet our ongoing working capital, capital expenditure and other liquidity requirements for at least twelve months from the date of this filing.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our credit facility, we may borrow up to $100.0 million, subject to borrowing conditions, which terminates on December 2, 2023. We had no outstanding balance on our credit facility at March 31, 2023 or December 31, 2022. The available amount to borrow under our credit facility was $98.3 million at both March 31, 2023 and December 31, 2022, which is equal to the available amount under the credit agreement of $100.0 million, net of letters of credit of $1.7 million. Our credit facility contains certain customary financial and non-financial covenants. We were in compliance with all covenants as of March 31, 2023 and December 31, 2022.</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Capital Resources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6650" w:type="dxa"/>
        <w:jc w:val="left"/>
        <w:tblInd w:w="0" w:type="dxa"/>
        <w:tblCellMar>
          <w:top w:w="28" w:type="dxa"/>
          <w:left w:w="28" w:type="dxa"/>
          <w:bottom w:w="28" w:type="dxa"/>
          <w:right w:w="28" w:type="dxa"/>
        </w:tblCellMar>
      </w:tblPr>
      <w:tblGrid>
        <w:gridCol w:w="1561"/>
        <w:gridCol w:w="1372"/>
        <w:gridCol w:w="1386"/>
        <w:gridCol w:w="109"/>
        <w:gridCol w:w="109"/>
        <w:gridCol w:w="109"/>
        <w:gridCol w:w="211"/>
        <w:gridCol w:w="511"/>
        <w:gridCol w:w="109"/>
        <w:gridCol w:w="109"/>
        <w:gridCol w:w="109"/>
        <w:gridCol w:w="109"/>
        <w:gridCol w:w="211"/>
        <w:gridCol w:w="481"/>
        <w:gridCol w:w="154"/>
      </w:tblGrid>
      <w:tr>
        <w:trPr/>
        <w:tc>
          <w:tcPr>
            <w:tcW w:w="1561"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$14.8 million in the three months ended March 31, 2023 compared to the three months ended March 31, 2022, due to $1.7 million of net income for the three months ended March 31, 2023 as compared to a net loss of $10.5 million for the three months ended March 31, 2022, and a $4.5 million increase in non-cash charges, partially offset by a $1.9 million increase in net cash outflow from changes in operating assets and liabilities. The increase in non-cash charges was primarily due to increases of $4.5 million in depreciation and amortization, $2.1 million in stock-based compensation, and $1.2 million in other, net, partially offset by a $3.9 million change in fair value of contingent consideration related to earnouts for the three months ended March 31, 2022. The increase in net cash outflow from changes in operating assets and liabilities was primarily due to decreases of $10.5 million in accrued expenses and other current liabilities, $1.0 million in prepaid expenses and other assets, and $0.7 million in other current liabilities, partially offset by increases of $7.3 million in accounts payable and $3.4 million in accounts receivable.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$0.9 million in the three months ended March 31, 2023 compared to the three months ended March 31, 2022, as a $1.6 million decrease in purchases of property and equipment was partially offset by a $0.7 million increase in capitalized software development costs.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$7.4 million in the three months ended March 31, 2023 compared to the three months ended March 31, 2022, primarily due to a $7.7 million increase from exercises of stock options. Additionally, we had $7.5 million of proceeds from our line of credit, with a $7.5 million repayment in full.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material changes from the market risk disclosures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March 31, 2023. Based on that evaluation, the Chief Executive Officer and the Chief Financial Officer concluded that these disclosure controls and procedures were effective as of March 31, 2023.</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identified in connection with the evaluation required by Rules 13a-15(d) and 15d-15(d) of the Exchange Act that occurred during the quarter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40" w:before="120" w:after="18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6–Commitments and Contingencies in the notes to condensed consolidated financial statements in Item 1 of Part I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2022 and in our subsequent periodic filings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5. Other Information.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Exhibits. </w:t>
      </w:r>
    </w:p>
    <w:tbl>
      <w:tblPr>
        <w:tblW w:w="10205" w:type="dxa"/>
        <w:jc w:val="left"/>
        <w:tblInd w:w="0" w:type="dxa"/>
        <w:tblCellMar>
          <w:top w:w="28" w:type="dxa"/>
          <w:left w:w="28" w:type="dxa"/>
          <w:bottom w:w="28" w:type="dxa"/>
          <w:right w:w="28" w:type="dxa"/>
        </w:tblCellMar>
      </w:tblPr>
      <w:tblGrid>
        <w:gridCol w:w="274"/>
        <w:gridCol w:w="242"/>
        <w:gridCol w:w="243"/>
        <w:gridCol w:w="109"/>
        <w:gridCol w:w="109"/>
        <w:gridCol w:w="109"/>
        <w:gridCol w:w="1932"/>
        <w:gridCol w:w="1932"/>
        <w:gridCol w:w="1935"/>
        <w:gridCol w:w="109"/>
        <w:gridCol w:w="109"/>
        <w:gridCol w:w="109"/>
        <w:gridCol w:w="873"/>
        <w:gridCol w:w="873"/>
        <w:gridCol w:w="1247"/>
      </w:tblGrid>
      <w:tr>
        <w:trPr/>
        <w:tc>
          <w:tcPr>
            <w:tcW w:w="27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2"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r>
      <w:tr>
        <w:trPr/>
        <w:tc>
          <w:tcPr>
            <w:tcW w:w="7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20"/>
                  <w:u w:val="single"/>
                </w:rPr>
                <w:t>Form of PSU Agreement with Change of Control</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Current Report on Form 8-K filed March 17, 2023</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Amended and Restated Change of Control and Severance Policy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10.2 to the Registrant’s Current Report on Form 8-K filed March 17, 2023</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302certificatio.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12-302certificatio.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21-404certificati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322-404certificatio.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w:t>
      </w:r>
    </w:p>
    <w:p>
      <w:pPr>
        <w:pStyle w:val="TextBody"/>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Certain schedules and exhibits have been omitted pursuant to Item 601(a)(5) of Regulation S-K. The Company agrees to furnish supplementally to the SEC a copy of any omitted schedule or exhibit upon request. </w:t>
      </w:r>
    </w:p>
    <w:p>
      <w:pPr>
        <w:pStyle w:val="TextBody"/>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5dfc449e87824d1b9ef9412240700272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982"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317"/>
        <w:gridCol w:w="317"/>
        <w:gridCol w:w="317"/>
        <w:gridCol w:w="587"/>
        <w:gridCol w:w="587"/>
        <w:gridCol w:w="83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1"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180"/>
        <w:ind w:left="0" w:right="0" w:firstLine="490"/>
        <w:jc w:val="both"/>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certify that: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NerdWallet, Inc.;</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5005"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870"/>
        <w:gridCol w:w="870"/>
        <w:gridCol w:w="124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certify that: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NerdWallet, Inc.;</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4030"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588"/>
        <w:gridCol w:w="588"/>
        <w:gridCol w:w="83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2023 (the “Report”) fully complies with the requirements of Section 13(a) or 15(d), as applicable, of the Securities Exchange Act of 1934; and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spacing w:before="0" w:after="0"/>
        <w:rPr/>
      </w:pPr>
      <w:r>
        <w:rPr/>
      </w:r>
    </w:p>
    <w:p>
      <w:pPr>
        <w:pStyle w:val="TextBody"/>
        <w:spacing w:before="0" w:after="120"/>
        <w:ind w:left="0" w:right="0" w:firstLine="540"/>
        <w:jc w:val="both"/>
        <w:rPr/>
      </w:pPr>
      <w:r>
        <w:rPr/>
      </w:r>
    </w:p>
    <w:tbl>
      <w:tblPr>
        <w:tblW w:w="5005"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870"/>
        <w:gridCol w:w="870"/>
        <w:gridCol w:w="124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spacing w:before="0" w:after="12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p>
      <w:pPr>
        <w:pStyle w:val="TextBody"/>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Chief Financial Officer of NerdWallet, Inc. (the “Company”), certify, as of the date hereof and solely for purposes of and pursuant to 18 U.S.C. Section 1350 as adopted pursuant to Section 906 of the Sarbanes-Oxley Act of 2002, that, to my knowledge:</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2023 (the “Report”) fully complies with the requirements of Section 13(a) or 15(d), as applicable, of the Securities Exchange Act of 1934; and</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spacing w:before="0" w:after="0"/>
        <w:rPr/>
      </w:pPr>
      <w:r>
        <w:rPr/>
      </w:r>
    </w:p>
    <w:p>
      <w:pPr>
        <w:pStyle w:val="TextBody"/>
        <w:spacing w:before="0" w:after="120"/>
        <w:ind w:left="0" w:right="0" w:firstLine="540"/>
        <w:jc w:val="both"/>
        <w:rPr/>
      </w:pPr>
      <w:r>
        <w:rPr/>
      </w:r>
    </w:p>
    <w:tbl>
      <w:tblPr>
        <w:tblW w:w="4030"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588"/>
        <w:gridCol w:w="588"/>
        <w:gridCol w:w="83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2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5278/000162527823000034/exhibit101-psugrantwcoc.htm" TargetMode="External"/><Relationship Id="rId3" Type="http://schemas.openxmlformats.org/officeDocument/2006/relationships/hyperlink" Target="https://www.sec.gov/Archives/edgar/data/1625278/000162527823000034/exhibit102-changeofcontro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11596</Words>
  <CharactersWithSpaces>74748</CharactersWithSpaces>
  <Paragraphs>1456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