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72487.xml.htm"/>
      <w:bookmarkStart w:id="1" w:name="kswkform4_17884724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Mischner Sam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NERDWALLET,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4150 N DRINKWATER BLVD,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NERDWALLET,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NRDS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973"/>
        <w:gridCol w:w="454"/>
        <w:gridCol w:w="670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9.78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228,121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Issuer to satisfy tax withholding obligation due to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192,814 RSUs payable solely in the Class A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1,039 shares of Class A Common Stock acquired by the Reporting Person under the Issuer's Employee Stock Purchase Plan on April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Bridgett Gatewood, Attorney-in-Fact for Sam Brian Mischner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3814" TargetMode="External"/><Relationship Id="rId5" Type="http://schemas.openxmlformats.org/officeDocument/2006/relationships/hyperlink" Target="http://www.sec.gov/cgi-bin/browse-edgar?action=getcompany&amp;CIK=00016252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3439</Characters>
  <CharactersWithSpaces>4001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