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817880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12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97" w:lineRule="exact"/>
        <w:rPr>
          <w:sz w:val="24"/>
          <w:szCs w:val="24"/>
          <w:color w:val="auto"/>
        </w:rPr>
      </w:pPr>
    </w:p>
    <w:p>
      <w:pPr>
        <w:ind w:left="580" w:hanging="554"/>
        <w:spacing w:after="0"/>
        <w:tabs>
          <w:tab w:leader="none" w:pos="5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ectPr>
          <w:pgSz w:w="11900" w:h="16838" w:orient="portrait"/>
          <w:cols w:equalWidth="0" w:num="1">
            <w:col w:w="11240"/>
          </w:cols>
          <w:pgMar w:left="320" w:top="1380"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ind w:left="20"/>
        <w:spacing w:after="0" w:line="161" w:lineRule="exact"/>
        <w:rPr>
          <w:sz w:val="20"/>
          <w:szCs w:val="20"/>
          <w:color w:val="auto"/>
        </w:rPr>
      </w:pPr>
      <w:r>
        <w:rPr>
          <w:rFonts w:ascii="MS PGothic" w:cs="MS PGothic" w:eastAsia="MS PGothic" w:hAnsi="MS PGothic"/>
          <w:sz w:val="16"/>
          <w:szCs w:val="16"/>
          <w:color w:val="auto"/>
          <w:highlight w:val="black"/>
        </w:rPr>
        <w:t>☐</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2022</w:t>
      </w:r>
    </w:p>
    <w:p>
      <w:pPr>
        <w:spacing w:after="0" w:line="31"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82"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For the transition period from to</w:t>
      </w:r>
    </w:p>
    <w:p>
      <w:pPr>
        <w:spacing w:after="0" w:line="117"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Commission file number 001-40994</w:t>
      </w:r>
    </w:p>
    <w:p>
      <w:pPr>
        <w:spacing w:after="0" w:line="110"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25"/>
          <w:szCs w:val="25"/>
          <w:b w:val="1"/>
          <w:bCs w:val="1"/>
          <w:color w:val="auto"/>
        </w:rPr>
        <w:t>NerdWallet, Inc.</w:t>
      </w:r>
    </w:p>
    <w:p>
      <w:pPr>
        <w:spacing w:after="0" w:line="35"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7"/>
          <w:szCs w:val="17"/>
          <w:i w:val="1"/>
          <w:iCs w:val="1"/>
          <w:color w:val="auto"/>
        </w:rPr>
        <w:t>(Exact name of registrant as specified in its charter)</w:t>
      </w:r>
    </w:p>
    <w:p>
      <w:pPr>
        <w:spacing w:after="0" w:line="136" w:lineRule="exact"/>
        <w:rPr>
          <w:sz w:val="24"/>
          <w:szCs w:val="24"/>
          <w:color w:val="auto"/>
        </w:rPr>
      </w:pPr>
    </w:p>
    <w:p>
      <w:pPr>
        <w:ind w:left="1900"/>
        <w:spacing w:after="0"/>
        <w:rPr>
          <w:sz w:val="20"/>
          <w:szCs w:val="20"/>
          <w:color w:val="auto"/>
        </w:rPr>
      </w:pPr>
      <w:r>
        <w:rPr>
          <w:rFonts w:ascii="Times New Roman" w:cs="Times New Roman" w:eastAsia="Times New Roman" w:hAnsi="Times New Roman"/>
          <w:sz w:val="17"/>
          <w:szCs w:val="17"/>
          <w:b w:val="1"/>
          <w:bCs w:val="1"/>
          <w:color w:val="auto"/>
        </w:rPr>
        <w:t>Delaware</w:t>
      </w:r>
    </w:p>
    <w:p>
      <w:pPr>
        <w:ind w:left="7460"/>
        <w:spacing w:after="0"/>
        <w:rPr>
          <w:sz w:val="20"/>
          <w:szCs w:val="20"/>
          <w:color w:val="auto"/>
        </w:rPr>
      </w:pPr>
      <w:r>
        <w:rPr>
          <w:rFonts w:ascii="Times New Roman" w:cs="Times New Roman" w:eastAsia="Times New Roman" w:hAnsi="Times New Roman"/>
          <w:sz w:val="17"/>
          <w:szCs w:val="17"/>
          <w:b w:val="1"/>
          <w:bCs w:val="1"/>
          <w:color w:val="auto"/>
        </w:rPr>
        <w:t>45-4180440</w:t>
      </w:r>
    </w:p>
    <w:p>
      <w:pPr>
        <w:spacing w:after="0" w:line="39" w:lineRule="exact"/>
        <w:rPr>
          <w:sz w:val="24"/>
          <w:szCs w:val="24"/>
          <w:color w:val="auto"/>
        </w:rPr>
      </w:pPr>
    </w:p>
    <w:p>
      <w:pPr>
        <w:ind w:left="180"/>
        <w:spacing w:after="0"/>
        <w:tabs>
          <w:tab w:leader="none" w:pos="6620" w:val="left"/>
        </w:tabs>
        <w:rPr>
          <w:sz w:val="20"/>
          <w:szCs w:val="20"/>
          <w:color w:val="auto"/>
        </w:rPr>
      </w:pPr>
      <w:r>
        <w:rPr>
          <w:rFonts w:ascii="Times New Roman" w:cs="Times New Roman" w:eastAsia="Times New Roman" w:hAnsi="Times New Roman"/>
          <w:sz w:val="17"/>
          <w:szCs w:val="17"/>
          <w:i w:val="1"/>
          <w:iCs w:val="1"/>
          <w:color w:val="auto"/>
        </w:rPr>
        <w:t>(State or other jurisdiction of incorporation or organization)</w:t>
      </w:r>
      <w:r>
        <w:rPr>
          <w:sz w:val="20"/>
          <w:szCs w:val="20"/>
          <w:color w:val="auto"/>
        </w:rPr>
        <w:tab/>
      </w:r>
      <w:r>
        <w:rPr>
          <w:rFonts w:ascii="Times New Roman" w:cs="Times New Roman" w:eastAsia="Times New Roman" w:hAnsi="Times New Roman"/>
          <w:sz w:val="17"/>
          <w:szCs w:val="17"/>
          <w:i w:val="1"/>
          <w:iCs w:val="1"/>
          <w:color w:val="auto"/>
        </w:rPr>
        <w:t>(I.R.S. Employer Identification No.)</w:t>
      </w:r>
    </w:p>
    <w:p>
      <w:pPr>
        <w:spacing w:after="0" w:line="399"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7"/>
          <w:szCs w:val="17"/>
          <w:b w:val="1"/>
          <w:bCs w:val="1"/>
          <w:color w:val="auto"/>
        </w:rPr>
        <w:t>55 Hawthorne Street, 11th Floor, San Francisco, California 94105</w:t>
      </w:r>
    </w:p>
    <w:p>
      <w:pPr>
        <w:spacing w:after="0" w:line="29"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7"/>
          <w:szCs w:val="17"/>
          <w:i w:val="1"/>
          <w:iCs w:val="1"/>
          <w:color w:val="auto"/>
        </w:rPr>
        <w:t>(Address of principal executive offices) (Zip code)</w:t>
      </w:r>
    </w:p>
    <w:p>
      <w:pPr>
        <w:spacing w:after="0" w:line="93"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7"/>
          <w:szCs w:val="17"/>
          <w:b w:val="1"/>
          <w:bCs w:val="1"/>
          <w:color w:val="auto"/>
        </w:rPr>
        <w:t>(415) 549-8913</w:t>
      </w:r>
    </w:p>
    <w:p>
      <w:pPr>
        <w:spacing w:after="0" w:line="31"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7"/>
          <w:szCs w:val="17"/>
          <w:i w:val="1"/>
          <w:iCs w:val="1"/>
          <w:color w:val="auto"/>
        </w:rPr>
        <w:t>(Registrant's telephone number, including area code)</w:t>
      </w:r>
    </w:p>
    <w:p>
      <w:pPr>
        <w:spacing w:after="0" w:line="109" w:lineRule="exact"/>
        <w:rPr>
          <w:sz w:val="24"/>
          <w:szCs w:val="24"/>
          <w:color w:val="auto"/>
        </w:rPr>
      </w:pPr>
    </w:p>
    <w:p>
      <w:pPr>
        <w:sectPr>
          <w:pgSz w:w="11900" w:h="16838" w:orient="portrait"/>
          <w:cols w:equalWidth="0" w:num="2">
            <w:col w:w="180" w:space="400"/>
            <w:col w:w="10660"/>
          </w:cols>
          <w:pgMar w:left="320" w:top="138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57" w:lineRule="exact"/>
        <w:rPr>
          <w:sz w:val="24"/>
          <w:szCs w:val="24"/>
          <w:color w:val="auto"/>
        </w:rPr>
      </w:pPr>
    </w:p>
    <w:p>
      <w:pPr>
        <w:ind w:left="1340"/>
        <w:spacing w:after="0"/>
        <w:tabs>
          <w:tab w:leader="none" w:pos="4500" w:val="left"/>
          <w:tab w:leader="none" w:pos="7220" w:val="left"/>
        </w:tabs>
        <w:rPr>
          <w:sz w:val="20"/>
          <w:szCs w:val="20"/>
          <w:color w:val="auto"/>
        </w:rPr>
      </w:pPr>
      <w:r>
        <w:rPr>
          <w:rFonts w:ascii="Times New Roman" w:cs="Times New Roman" w:eastAsia="Times New Roman" w:hAnsi="Times New Roman"/>
          <w:sz w:val="17"/>
          <w:szCs w:val="17"/>
          <w:b w:val="1"/>
          <w:bCs w:val="1"/>
          <w:color w:val="auto"/>
        </w:rPr>
        <w:t>Title of each class</w:t>
      </w:r>
      <w:r>
        <w:rPr>
          <w:sz w:val="20"/>
          <w:szCs w:val="20"/>
          <w:color w:val="auto"/>
        </w:rPr>
        <w:tab/>
      </w:r>
      <w:r>
        <w:rPr>
          <w:rFonts w:ascii="Times New Roman" w:cs="Times New Roman" w:eastAsia="Times New Roman" w:hAnsi="Times New Roman"/>
          <w:sz w:val="17"/>
          <w:szCs w:val="17"/>
          <w:b w:val="1"/>
          <w:bCs w:val="1"/>
          <w:color w:val="auto"/>
        </w:rPr>
        <w:t>Trading symbol(s)</w:t>
      </w:r>
      <w:r>
        <w:rPr>
          <w:sz w:val="20"/>
          <w:szCs w:val="20"/>
          <w:color w:val="auto"/>
        </w:rPr>
        <w:tab/>
      </w:r>
      <w:r>
        <w:rPr>
          <w:rFonts w:ascii="Times New Roman" w:cs="Times New Roman" w:eastAsia="Times New Roman" w:hAnsi="Times New Roman"/>
          <w:sz w:val="16"/>
          <w:szCs w:val="16"/>
          <w:b w:val="1"/>
          <w:bCs w:val="1"/>
          <w:color w:val="auto"/>
        </w:rPr>
        <w:t>Name of each exchange on which registered</w:t>
      </w:r>
    </w:p>
    <w:p>
      <w:pPr>
        <w:spacing w:after="0" w:line="65" w:lineRule="exact"/>
        <w:rPr>
          <w:sz w:val="24"/>
          <w:szCs w:val="24"/>
          <w:color w:val="auto"/>
        </w:rPr>
      </w:pPr>
    </w:p>
    <w:p>
      <w:pPr>
        <w:ind w:left="540"/>
        <w:spacing w:after="0"/>
        <w:tabs>
          <w:tab w:leader="none" w:pos="4940" w:val="left"/>
          <w:tab w:leader="none" w:pos="7860" w:val="left"/>
        </w:tabs>
        <w:rPr>
          <w:sz w:val="20"/>
          <w:szCs w:val="20"/>
          <w:color w:val="auto"/>
        </w:rPr>
      </w:pPr>
      <w:r>
        <w:rPr>
          <w:rFonts w:ascii="Times New Roman" w:cs="Times New Roman" w:eastAsia="Times New Roman" w:hAnsi="Times New Roman"/>
          <w:sz w:val="17"/>
          <w:szCs w:val="17"/>
          <w:color w:val="auto"/>
        </w:rPr>
        <w:t>Class A common stock, $0.0001 par value</w:t>
      </w:r>
      <w:r>
        <w:rPr>
          <w:sz w:val="20"/>
          <w:szCs w:val="20"/>
          <w:color w:val="auto"/>
        </w:rPr>
        <w:tab/>
      </w:r>
      <w:r>
        <w:rPr>
          <w:rFonts w:ascii="Times New Roman" w:cs="Times New Roman" w:eastAsia="Times New Roman" w:hAnsi="Times New Roman"/>
          <w:sz w:val="17"/>
          <w:szCs w:val="17"/>
          <w:color w:val="auto"/>
        </w:rPr>
        <w:t>NRDS</w:t>
      </w:r>
      <w:r>
        <w:rPr>
          <w:sz w:val="20"/>
          <w:szCs w:val="20"/>
          <w:color w:val="auto"/>
        </w:rPr>
        <w:tab/>
      </w:r>
      <w:r>
        <w:rPr>
          <w:rFonts w:ascii="Times New Roman" w:cs="Times New Roman" w:eastAsia="Times New Roman" w:hAnsi="Times New Roman"/>
          <w:sz w:val="17"/>
          <w:szCs w:val="17"/>
          <w:color w:val="auto"/>
        </w:rPr>
        <w:t>The Nasdaq Global Market</w:t>
      </w:r>
    </w:p>
    <w:p>
      <w:pPr>
        <w:spacing w:after="0" w:line="237" w:lineRule="exact"/>
        <w:rPr>
          <w:sz w:val="24"/>
          <w:szCs w:val="24"/>
          <w:color w:val="auto"/>
        </w:rPr>
      </w:pPr>
    </w:p>
    <w:p>
      <w:pPr>
        <w:jc w:val="both"/>
        <w:spacing w:after="0" w:line="221"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67" w:lineRule="exact"/>
        <w:rPr>
          <w:sz w:val="24"/>
          <w:szCs w:val="24"/>
          <w:color w:val="auto"/>
        </w:rPr>
      </w:pPr>
    </w:p>
    <w:p>
      <w:pPr>
        <w:jc w:val="both"/>
        <w:spacing w:after="0" w:line="241"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262" w:lineRule="exact"/>
        <w:rPr>
          <w:sz w:val="24"/>
          <w:szCs w:val="24"/>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22" w:lineRule="exact"/>
        <w:rPr>
          <w:sz w:val="24"/>
          <w:szCs w:val="24"/>
          <w:color w:val="auto"/>
        </w:rPr>
      </w:pPr>
    </w:p>
    <w:tbl>
      <w:tblPr>
        <w:tblLayout w:type="fixed"/>
        <w:tblInd w:w="1080" w:type="dxa"/>
        <w:tblCellMar>
          <w:top w:w="0" w:type="dxa"/>
          <w:left w:w="0" w:type="dxa"/>
          <w:bottom w:w="0" w:type="dxa"/>
          <w:right w:w="0" w:type="dxa"/>
        </w:tblCellMar>
      </w:tblPr>
      <w:tr>
        <w:trPr>
          <w:trHeight w:val="222"/>
        </w:trPr>
        <w:tc>
          <w:tcPr>
            <w:tcW w:w="22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1520" w:type="dxa"/>
            <w:vAlign w:val="bottom"/>
            <w:vMerge w:val="restart"/>
          </w:tcPr>
          <w:p>
            <w:pPr>
              <w:ind w:left="740"/>
              <w:spacing w:after="0" w:line="181" w:lineRule="exact"/>
              <w:rPr>
                <w:sz w:val="20"/>
                <w:szCs w:val="20"/>
                <w:color w:val="auto"/>
              </w:rPr>
            </w:pPr>
            <w:r>
              <w:rPr>
                <w:rFonts w:ascii="MS PGothic" w:cs="MS PGothic" w:eastAsia="MS PGothic" w:hAnsi="MS PGothic"/>
                <w:sz w:val="18"/>
                <w:szCs w:val="18"/>
                <w:color w:val="auto"/>
              </w:rPr>
              <w:t>☐</w:t>
            </w:r>
          </w:p>
        </w:tc>
        <w:tc>
          <w:tcPr>
            <w:tcW w:w="332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Accelerated filer</w:t>
            </w:r>
          </w:p>
        </w:tc>
        <w:tc>
          <w:tcPr>
            <w:tcW w:w="1000" w:type="dxa"/>
            <w:vAlign w:val="bottom"/>
            <w:vMerge w:val="restart"/>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71"/>
        </w:trPr>
        <w:tc>
          <w:tcPr>
            <w:tcW w:w="2280" w:type="dxa"/>
            <w:vAlign w:val="bottom"/>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33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228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1520" w:type="dxa"/>
            <w:vAlign w:val="bottom"/>
          </w:tcPr>
          <w:p>
            <w:pPr>
              <w:ind w:left="740"/>
              <w:spacing w:after="0" w:line="181" w:lineRule="exact"/>
              <w:rPr>
                <w:sz w:val="20"/>
                <w:szCs w:val="20"/>
                <w:color w:val="auto"/>
              </w:rPr>
            </w:pPr>
            <w:r>
              <w:rPr>
                <w:rFonts w:ascii="MS PGothic" w:cs="MS PGothic" w:eastAsia="MS PGothic" w:hAnsi="MS PGothic"/>
                <w:sz w:val="18"/>
                <w:szCs w:val="18"/>
                <w:color w:val="auto"/>
              </w:rPr>
              <w:t>☒</w:t>
            </w:r>
          </w:p>
        </w:tc>
        <w:tc>
          <w:tcPr>
            <w:tcW w:w="332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1000" w:type="dxa"/>
            <w:vAlign w:val="bottom"/>
            <w:vMerge w:val="restart"/>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3"/>
        </w:trPr>
        <w:tc>
          <w:tcPr>
            <w:tcW w:w="2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32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Emerging growth company</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350" w:lineRule="exact"/>
        <w:rPr>
          <w:sz w:val="24"/>
          <w:szCs w:val="24"/>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3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5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The registrant had outstanding 35,465,297 shares of Class A common stock and 31,685,652 shares of Class B common stock as of April 27,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777240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163830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Index to Form 10-Q</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20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175"/>
        </w:trPr>
        <w:tc>
          <w:tcPr>
            <w:tcW w:w="320" w:type="dxa"/>
            <w:vAlign w:val="bottom"/>
          </w:tcPr>
          <w:p>
            <w:pPr>
              <w:spacing w:after="0"/>
              <w:rPr>
                <w:sz w:val="15"/>
                <w:szCs w:val="15"/>
                <w:color w:val="auto"/>
              </w:rPr>
            </w:pPr>
          </w:p>
        </w:tc>
        <w:tc>
          <w:tcPr>
            <w:tcW w:w="6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b w:val="1"/>
                <w:bCs w:val="1"/>
                <w:color w:val="0000FF"/>
              </w:rPr>
              <w:t>PART I</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8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90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6"/>
              </w:rPr>
              <w:t>Item</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88"/>
              </w:rPr>
              <w:t>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w:t>
            </w:r>
          </w:p>
        </w:tc>
        <w:tc>
          <w:tcPr>
            <w:tcW w:w="5540" w:type="dxa"/>
            <w:vAlign w:val="bottom"/>
            <w:gridSpan w:val="8"/>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spacing w:after="0"/>
              <w:rPr>
                <w:sz w:val="20"/>
                <w:szCs w:val="20"/>
                <w:color w:val="auto"/>
              </w:rPr>
            </w:pPr>
          </w:p>
        </w:tc>
      </w:tr>
      <w:tr>
        <w:trPr>
          <w:trHeight w:val="236"/>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Pr>
          <w:p>
            <w:pPr>
              <w:spacing w:after="0"/>
              <w:rPr>
                <w:sz w:val="20"/>
                <w:szCs w:val="20"/>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Loss</w:t>
            </w:r>
          </w:p>
        </w:tc>
        <w:tc>
          <w:tcPr>
            <w:tcW w:w="4080" w:type="dxa"/>
            <w:vAlign w:val="bottom"/>
            <w:gridSpan w:val="2"/>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tcPr>
          <w:p>
            <w:pPr>
              <w:spacing w:after="0"/>
              <w:rPr>
                <w:sz w:val="20"/>
                <w:szCs w:val="20"/>
                <w:color w:val="auto"/>
              </w:rPr>
            </w:pPr>
          </w:p>
        </w:tc>
      </w:tr>
      <w:tr>
        <w:trPr>
          <w:trHeight w:val="236"/>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w:t>
            </w:r>
          </w:p>
        </w:tc>
        <w:tc>
          <w:tcPr>
            <w:tcW w:w="4080" w:type="dxa"/>
            <w:vAlign w:val="bottom"/>
            <w:gridSpan w:val="2"/>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tcPr>
          <w:p>
            <w:pPr>
              <w:spacing w:after="0"/>
              <w:rPr>
                <w:sz w:val="20"/>
                <w:szCs w:val="20"/>
                <w:color w:val="auto"/>
              </w:rPr>
            </w:pPr>
          </w:p>
        </w:tc>
      </w:tr>
      <w:tr>
        <w:trPr>
          <w:trHeight w:val="237"/>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w:t>
            </w:r>
          </w:p>
        </w:tc>
        <w:tc>
          <w:tcPr>
            <w:tcW w:w="4760" w:type="dxa"/>
            <w:vAlign w:val="bottom"/>
            <w:gridSpan w:val="6"/>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tcPr>
          <w:p>
            <w:pPr>
              <w:spacing w:after="0"/>
              <w:rPr>
                <w:sz w:val="20"/>
                <w:szCs w:val="20"/>
                <w:color w:val="auto"/>
              </w:rPr>
            </w:pPr>
          </w:p>
        </w:tc>
      </w:tr>
      <w:tr>
        <w:trPr>
          <w:trHeight w:val="237"/>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4480" w:type="dxa"/>
            <w:vAlign w:val="bottom"/>
            <w:gridSpan w:val="5"/>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tcPr>
          <w:p>
            <w:pPr>
              <w:spacing w:after="0"/>
              <w:rPr>
                <w:sz w:val="20"/>
                <w:szCs w:val="20"/>
                <w:color w:val="auto"/>
              </w:rPr>
            </w:pPr>
          </w:p>
        </w:tc>
      </w:tr>
      <w:tr>
        <w:trPr>
          <w:trHeight w:val="236"/>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6"/>
              </w:rPr>
              <w:t>Item</w:t>
            </w:r>
          </w:p>
        </w:tc>
        <w:tc>
          <w:tcPr>
            <w:tcW w:w="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300" w:type="dxa"/>
            <w:vAlign w:val="bottom"/>
          </w:tcPr>
          <w:p>
            <w:pPr>
              <w:spacing w:after="0"/>
              <w:rPr>
                <w:sz w:val="20"/>
                <w:szCs w:val="20"/>
                <w:color w:val="auto"/>
              </w:rPr>
            </w:pPr>
          </w:p>
        </w:tc>
      </w:tr>
      <w:tr>
        <w:trPr>
          <w:trHeight w:val="237"/>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Borders>
              <w:top w:val="single" w:sz="8" w:color="0000FF"/>
              <w:bottom w:val="single" w:sz="8" w:color="0000FF"/>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6"/>
              </w:rPr>
              <w:t>Item</w:t>
            </w:r>
          </w:p>
        </w:tc>
        <w:tc>
          <w:tcPr>
            <w:tcW w:w="180" w:type="dxa"/>
            <w:vAlign w:val="bottom"/>
            <w:tcBorders>
              <w:top w:val="single" w:sz="8" w:color="0000FF"/>
              <w:bottom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rPr>
              <w:t>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38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FF"/>
            </w:tcBorders>
            <w:gridSpan w:val="2"/>
          </w:tcPr>
          <w:p>
            <w:pPr>
              <w:spacing w:after="0"/>
              <w:rPr>
                <w:sz w:val="20"/>
                <w:szCs w:val="20"/>
                <w:color w:val="auto"/>
              </w:rPr>
            </w:pPr>
          </w:p>
        </w:tc>
        <w:tc>
          <w:tcPr>
            <w:tcW w:w="20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c>
          <w:tcPr>
            <w:tcW w:w="300" w:type="dxa"/>
            <w:vAlign w:val="bottom"/>
          </w:tcPr>
          <w:p>
            <w:pPr>
              <w:spacing w:after="0"/>
              <w:rPr>
                <w:sz w:val="20"/>
                <w:szCs w:val="20"/>
                <w:color w:val="auto"/>
              </w:rPr>
            </w:pPr>
          </w:p>
        </w:tc>
      </w:tr>
      <w:tr>
        <w:trPr>
          <w:trHeight w:val="237"/>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Borders>
              <w:bottom w:val="single" w:sz="8" w:color="0000FF"/>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6"/>
              </w:rPr>
              <w:t>Item</w:t>
            </w:r>
          </w:p>
        </w:tc>
        <w:tc>
          <w:tcPr>
            <w:tcW w:w="16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18"/>
                <w:szCs w:val="18"/>
                <w:color w:val="0000FF"/>
                <w:w w:val="88"/>
              </w:rPr>
              <w:t>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6700" w:type="dxa"/>
            <w:vAlign w:val="bottom"/>
            <w:gridSpan w:val="10"/>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c>
          <w:tcPr>
            <w:tcW w:w="300" w:type="dxa"/>
            <w:vAlign w:val="bottom"/>
          </w:tcPr>
          <w:p>
            <w:pPr>
              <w:spacing w:after="0"/>
              <w:rPr>
                <w:sz w:val="20"/>
                <w:szCs w:val="20"/>
                <w:color w:val="auto"/>
              </w:rPr>
            </w:pPr>
          </w:p>
        </w:tc>
      </w:tr>
      <w:tr>
        <w:trPr>
          <w:trHeight w:val="507"/>
        </w:trPr>
        <w:tc>
          <w:tcPr>
            <w:tcW w:w="320" w:type="dxa"/>
            <w:vAlign w:val="bottom"/>
          </w:tcPr>
          <w:p>
            <w:pPr>
              <w:spacing w:after="0"/>
              <w:rPr>
                <w:sz w:val="24"/>
                <w:szCs w:val="24"/>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0000FF"/>
                <w:w w:val="94"/>
              </w:rPr>
              <w:t>PART II</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8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37"/>
        </w:trPr>
        <w:tc>
          <w:tcPr>
            <w:tcW w:w="32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34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96"/>
              </w:rPr>
              <w:t>Item</w:t>
            </w:r>
          </w:p>
        </w:tc>
        <w:tc>
          <w:tcPr>
            <w:tcW w:w="20" w:type="dxa"/>
            <w:vAlign w:val="bottom"/>
            <w:tcBorders>
              <w:bottom w:val="single" w:sz="8" w:color="0000FF"/>
            </w:tcBorders>
          </w:tcPr>
          <w:p>
            <w:pPr>
              <w:spacing w:after="0"/>
              <w:rPr>
                <w:sz w:val="20"/>
                <w:szCs w:val="20"/>
                <w:color w:val="auto"/>
              </w:rPr>
            </w:pPr>
          </w:p>
        </w:tc>
        <w:tc>
          <w:tcPr>
            <w:tcW w:w="180" w:type="dxa"/>
            <w:vAlign w:val="bottom"/>
            <w:tcBorders>
              <w:bottom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rPr>
              <w:t>1.</w:t>
            </w:r>
          </w:p>
        </w:tc>
        <w:tc>
          <w:tcPr>
            <w:tcW w:w="100" w:type="dxa"/>
            <w:vAlign w:val="bottom"/>
            <w:tcBorders>
              <w:bottom w:val="single" w:sz="8" w:color="0000FF"/>
            </w:tcBorders>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160" w:type="dxa"/>
            <w:vAlign w:val="bottom"/>
            <w:tcBorders>
              <w:top w:val="single" w:sz="8" w:color="0000FF"/>
            </w:tcBorders>
          </w:tcPr>
          <w:p>
            <w:pPr>
              <w:spacing w:after="0"/>
              <w:rPr>
                <w:sz w:val="20"/>
                <w:szCs w:val="20"/>
                <w:color w:val="auto"/>
              </w:rPr>
            </w:pPr>
          </w:p>
        </w:tc>
        <w:tc>
          <w:tcPr>
            <w:tcW w:w="6980" w:type="dxa"/>
            <w:vAlign w:val="bottom"/>
            <w:gridSpan w:val="12"/>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c>
          <w:tcPr>
            <w:tcW w:w="300" w:type="dxa"/>
            <w:vAlign w:val="bottom"/>
          </w:tcPr>
          <w:p>
            <w:pPr>
              <w:spacing w:after="0"/>
              <w:rPr>
                <w:sz w:val="20"/>
                <w:szCs w:val="20"/>
                <w:color w:val="auto"/>
              </w:rPr>
            </w:pPr>
          </w:p>
        </w:tc>
      </w:tr>
      <w:tr>
        <w:trPr>
          <w:trHeight w:val="236"/>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6"/>
              </w:rPr>
              <w:t>Item</w:t>
            </w:r>
          </w:p>
        </w:tc>
        <w:tc>
          <w:tcPr>
            <w:tcW w:w="5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rPr>
              <w:t>1A.</w:t>
            </w:r>
          </w:p>
        </w:tc>
        <w:tc>
          <w:tcPr>
            <w:tcW w:w="84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c>
          <w:tcPr>
            <w:tcW w:w="300" w:type="dxa"/>
            <w:vAlign w:val="bottom"/>
          </w:tcPr>
          <w:p>
            <w:pPr>
              <w:spacing w:after="0"/>
              <w:rPr>
                <w:sz w:val="20"/>
                <w:szCs w:val="20"/>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412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36"/>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Borders>
              <w:bottom w:val="single" w:sz="8" w:color="0000FF"/>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6"/>
              </w:rPr>
              <w:t>Item</w:t>
            </w:r>
          </w:p>
        </w:tc>
        <w:tc>
          <w:tcPr>
            <w:tcW w:w="180" w:type="dxa"/>
            <w:vAlign w:val="bottom"/>
            <w:tcBorders>
              <w:bottom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rPr>
              <w:t>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3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120" w:type="dxa"/>
            <w:vAlign w:val="bottom"/>
            <w:gridSpan w:val="4"/>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c>
          <w:tcPr>
            <w:tcW w:w="300" w:type="dxa"/>
            <w:vAlign w:val="bottom"/>
          </w:tcPr>
          <w:p>
            <w:pPr>
              <w:spacing w:after="0"/>
              <w:rPr>
                <w:sz w:val="20"/>
                <w:szCs w:val="20"/>
                <w:color w:val="auto"/>
              </w:rPr>
            </w:pPr>
          </w:p>
        </w:tc>
      </w:tr>
      <w:tr>
        <w:trPr>
          <w:trHeight w:val="237"/>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6"/>
              </w:rPr>
              <w:t>Item</w:t>
            </w:r>
          </w:p>
        </w:tc>
        <w:tc>
          <w:tcPr>
            <w:tcW w:w="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c>
          <w:tcPr>
            <w:tcW w:w="300" w:type="dxa"/>
            <w:vAlign w:val="bottom"/>
          </w:tcPr>
          <w:p>
            <w:pPr>
              <w:spacing w:after="0"/>
              <w:rPr>
                <w:sz w:val="20"/>
                <w:szCs w:val="20"/>
                <w:color w:val="auto"/>
              </w:rPr>
            </w:pPr>
          </w:p>
        </w:tc>
      </w:tr>
      <w:tr>
        <w:trPr>
          <w:trHeight w:val="236"/>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Borders>
              <w:top w:val="single" w:sz="8" w:color="0000FF"/>
              <w:bottom w:val="single" w:sz="8" w:color="0000FF"/>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6"/>
              </w:rPr>
              <w:t>Item</w:t>
            </w:r>
          </w:p>
        </w:tc>
        <w:tc>
          <w:tcPr>
            <w:tcW w:w="180" w:type="dxa"/>
            <w:vAlign w:val="bottom"/>
            <w:tcBorders>
              <w:top w:val="single" w:sz="8" w:color="0000FF"/>
              <w:bottom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rPr>
              <w:t>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40" w:type="dxa"/>
            <w:vAlign w:val="bottom"/>
            <w:tcBorders>
              <w:top w:val="single" w:sz="8" w:color="0000FF"/>
            </w:tcBorders>
          </w:tcPr>
          <w:p>
            <w:pPr>
              <w:spacing w:after="0"/>
              <w:rPr>
                <w:sz w:val="20"/>
                <w:szCs w:val="20"/>
                <w:color w:val="auto"/>
              </w:rPr>
            </w:pPr>
          </w:p>
        </w:tc>
        <w:tc>
          <w:tcPr>
            <w:tcW w:w="6160" w:type="dxa"/>
            <w:vAlign w:val="bottom"/>
            <w:gridSpan w:val="9"/>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c>
          <w:tcPr>
            <w:tcW w:w="300" w:type="dxa"/>
            <w:vAlign w:val="bottom"/>
          </w:tcPr>
          <w:p>
            <w:pPr>
              <w:spacing w:after="0"/>
              <w:rPr>
                <w:sz w:val="20"/>
                <w:szCs w:val="20"/>
                <w:color w:val="auto"/>
              </w:rPr>
            </w:pPr>
          </w:p>
        </w:tc>
      </w:tr>
      <w:tr>
        <w:trPr>
          <w:trHeight w:val="237"/>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Borders>
              <w:bottom w:val="single" w:sz="8" w:color="0000FF"/>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6"/>
              </w:rPr>
              <w:t>Item</w:t>
            </w:r>
          </w:p>
        </w:tc>
        <w:tc>
          <w:tcPr>
            <w:tcW w:w="180" w:type="dxa"/>
            <w:vAlign w:val="bottom"/>
            <w:tcBorders>
              <w:bottom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rPr>
              <w:t>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160" w:type="dxa"/>
            <w:vAlign w:val="bottom"/>
            <w:gridSpan w:val="14"/>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c>
          <w:tcPr>
            <w:tcW w:w="300" w:type="dxa"/>
            <w:vAlign w:val="bottom"/>
          </w:tcPr>
          <w:p>
            <w:pPr>
              <w:spacing w:after="0"/>
              <w:rPr>
                <w:sz w:val="20"/>
                <w:szCs w:val="20"/>
                <w:color w:val="auto"/>
              </w:rPr>
            </w:pPr>
          </w:p>
        </w:tc>
      </w:tr>
      <w:tr>
        <w:trPr>
          <w:trHeight w:val="237"/>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6"/>
              </w:rPr>
              <w:t>Item</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88"/>
              </w:rPr>
              <w:t>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Exhibits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c>
          <w:tcPr>
            <w:tcW w:w="300" w:type="dxa"/>
            <w:vAlign w:val="bottom"/>
          </w:tcPr>
          <w:p>
            <w:pPr>
              <w:spacing w:after="0"/>
              <w:rPr>
                <w:sz w:val="20"/>
                <w:szCs w:val="20"/>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506"/>
        </w:trPr>
        <w:tc>
          <w:tcPr>
            <w:tcW w:w="320" w:type="dxa"/>
            <w:vAlign w:val="bottom"/>
          </w:tcPr>
          <w:p>
            <w:pPr>
              <w:spacing w:after="0"/>
              <w:rPr>
                <w:sz w:val="24"/>
                <w:szCs w:val="24"/>
                <w:color w:val="auto"/>
              </w:rPr>
            </w:pPr>
          </w:p>
        </w:tc>
        <w:tc>
          <w:tcPr>
            <w:tcW w:w="12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300" w:type="dxa"/>
            <w:vAlign w:val="bottom"/>
          </w:tcPr>
          <w:p>
            <w:pPr>
              <w:spacing w:after="0"/>
              <w:rPr>
                <w:sz w:val="24"/>
                <w:szCs w:val="24"/>
                <w:color w:val="auto"/>
              </w:rPr>
            </w:pPr>
          </w:p>
        </w:tc>
      </w:tr>
      <w:tr>
        <w:trPr>
          <w:trHeight w:val="1432"/>
        </w:trPr>
        <w:tc>
          <w:tcPr>
            <w:tcW w:w="320" w:type="dxa"/>
            <w:vAlign w:val="bottom"/>
            <w:tcBorders>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about us and our industry that involve substantial risks and uncertainties. All statements other than statements of historical facts contained in this Quarterly Report on Form 10-Q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forward-looking statements include, but are not limited to, statements concerning the following:</w:t>
      </w:r>
    </w:p>
    <w:p>
      <w:pPr>
        <w:spacing w:after="0" w:line="183"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ongoing COVID-19 pandemic on our business, results of operations, financial condition, and stock price;</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future financial performance, including total revenue, cost of revenue, Adjusted EBITDA and Monthly Unique Users;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traffic and engagement on our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returns on marketing investments and brand campaigns;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about consumer demand for the products on our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convert users into Registered Users and improve repeat user rates;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convert consumers into matches with financial services partners;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within existing and new verticals;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geographically;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expand our relationships with our existing financial services partners and to identify new financial services partners;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build efficient and scalable technical capabilities to deliver personalized guidance and nudge users;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enhance our brand awareness and consumer trust;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high quality, engaging consumer resources;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adapt to the evolving financial interests of consumers;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with existing and new competitors in existing and new market verticals;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security and availability of our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protect and enhance our intellectual property;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attract and retain highly skilled, diverse personnel;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stay in compliance with laws and regulations that currently apply or become applicable to our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cash, cash equivalents, and investments to meet our liquidity needs;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 and expand our infrastructure and maintain our corporate culture;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identify, manage, and integrate any existing and potential acquisitions.</w:t>
      </w:r>
    </w:p>
    <w:p>
      <w:pPr>
        <w:spacing w:after="0" w:line="17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You should not rely on forward-looking statements as predictions or guarantees of future events. We have based the forward-looking statements contained in this Quarterly Report on Form 10-Q primarily on our current expectations and projections about future events and trends that we believe may affect our business, financial condition and operating results. These forward-looking statements are subject to risks, uncertainties and other factors described elsewhere in this Quarterly Report on Form 10-Q, in Part I, Item 1A. Risk Factors in our Annual Report on Form 10-K for the year ended December 31, 2021, and in our subsequent periodic filings with the U.S. Securities and Exchange Commission.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achieved or occur, and actual results, events or circumstances could differ materially from those described in the forward-looking statements.</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forward-looking statements made in this Quarterly Report on Form 10-Q are made only as of the date hereof.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on information available to us as of the date of this Quarterly Report on Form 10-Q.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 w:lineRule="exact"/>
        <w:rPr>
          <w:sz w:val="20"/>
          <w:szCs w:val="20"/>
          <w:color w:val="auto"/>
        </w:rPr>
      </w:pPr>
    </w:p>
    <w:p>
      <w:pPr>
        <w:jc w:val="right"/>
        <w:ind w:right="220"/>
        <w:spacing w:after="0"/>
        <w:tabs>
          <w:tab w:leader="none" w:pos="820" w:val="left"/>
        </w:tabs>
        <w:rPr>
          <w:sz w:val="20"/>
          <w:szCs w:val="20"/>
          <w:color w:val="auto"/>
        </w:rPr>
      </w:pPr>
      <w:r>
        <w:rPr>
          <w:rFonts w:ascii="Times New Roman" w:cs="Times New Roman" w:eastAsia="Times New Roman" w:hAnsi="Times New Roman"/>
          <w:sz w:val="14"/>
          <w:szCs w:val="14"/>
          <w:b w:val="1"/>
          <w:bCs w:val="1"/>
          <w:color w:val="auto"/>
        </w:rPr>
        <w:t>March 31,</w:t>
      </w:r>
      <w:r>
        <w:rPr>
          <w:sz w:val="20"/>
          <w:szCs w:val="20"/>
          <w:color w:val="auto"/>
        </w:rPr>
        <w:tab/>
      </w:r>
      <w:r>
        <w:rPr>
          <w:rFonts w:ascii="Times New Roman" w:cs="Times New Roman" w:eastAsia="Times New Roman" w:hAnsi="Times New Roman"/>
          <w:sz w:val="14"/>
          <w:szCs w:val="14"/>
          <w:b w:val="1"/>
          <w:bCs w:val="1"/>
          <w:color w:val="auto"/>
        </w:rPr>
        <w:t>December 31,</w:t>
      </w:r>
    </w:p>
    <w:p>
      <w:pPr>
        <w:spacing w:after="0" w:line="29" w:lineRule="exact"/>
        <w:rPr>
          <w:sz w:val="20"/>
          <w:szCs w:val="20"/>
          <w:color w:val="auto"/>
        </w:rPr>
      </w:pPr>
    </w:p>
    <w:p>
      <w:pPr>
        <w:ind w:left="20"/>
        <w:spacing w:after="0"/>
        <w:tabs>
          <w:tab w:leader="none" w:pos="9000" w:val="left"/>
          <w:tab w:leader="none" w:pos="10420" w:val="left"/>
        </w:tabs>
        <w:rPr>
          <w:sz w:val="20"/>
          <w:szCs w:val="20"/>
          <w:color w:val="auto"/>
        </w:rPr>
      </w:pPr>
      <w:r>
        <w:rPr>
          <w:rFonts w:ascii="Times New Roman" w:cs="Times New Roman" w:eastAsia="Times New Roman" w:hAnsi="Times New Roman"/>
          <w:sz w:val="14"/>
          <w:szCs w:val="14"/>
          <w:i w:val="1"/>
          <w:iCs w:val="1"/>
          <w:color w:val="auto"/>
        </w:rPr>
        <w:t>(in millions, except share amounts which are in thousands and per share amounts)</w:t>
      </w:r>
      <w:r>
        <w:rPr>
          <w:sz w:val="20"/>
          <w:szCs w:val="20"/>
          <w:color w:val="auto"/>
        </w:rPr>
        <w:tab/>
      </w: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1797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Prepaid expenses and other current assets</w:t>
      </w:r>
    </w:p>
    <w:p>
      <w:pPr>
        <w:spacing w:after="0" w:line="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Property, equipment and software — net</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Intangibles — net</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assets</w:t>
      </w:r>
    </w:p>
    <w:p>
      <w:pPr>
        <w:spacing w:after="0" w:line="1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tabs>
          <w:tab w:leader="none" w:pos="800" w:val="left"/>
          <w:tab w:leader="none" w:pos="14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161.6</w:t>
      </w:r>
      <w:r>
        <w:rPr>
          <w:sz w:val="20"/>
          <w:szCs w:val="20"/>
          <w:color w:val="auto"/>
        </w:rPr>
        <w:tab/>
      </w:r>
      <w:r>
        <w:rPr>
          <w:rFonts w:ascii="Times New Roman" w:cs="Times New Roman" w:eastAsia="Times New Roman" w:hAnsi="Times New Roman"/>
          <w:sz w:val="16"/>
          <w:szCs w:val="16"/>
          <w:color w:val="auto"/>
        </w:rPr>
        <w:t>$</w:t>
      </w:r>
    </w:p>
    <w:p>
      <w:pPr>
        <w:spacing w:after="0" w:line="90"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8"/>
          <w:szCs w:val="18"/>
          <w:color w:val="auto"/>
        </w:rPr>
        <w:t>72.5</w:t>
      </w:r>
    </w:p>
    <w:p>
      <w:pPr>
        <w:spacing w:after="0" w:line="63"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17145</wp:posOffset>
            </wp:positionV>
            <wp:extent cx="8401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57"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8"/>
          <w:szCs w:val="18"/>
          <w:color w:val="auto"/>
        </w:rPr>
        <w:t>253.3</w:t>
      </w:r>
    </w:p>
    <w:p>
      <w:pPr>
        <w:spacing w:after="0" w:line="63"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8"/>
          <w:szCs w:val="18"/>
          <w:color w:val="auto"/>
        </w:rPr>
        <w:t>39.6</w:t>
      </w:r>
    </w:p>
    <w:p>
      <w:pPr>
        <w:spacing w:after="0" w:line="63"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8"/>
          <w:szCs w:val="18"/>
          <w:color w:val="auto"/>
        </w:rPr>
        <w:t>43.6</w:t>
      </w:r>
    </w:p>
    <w:p>
      <w:pPr>
        <w:spacing w:after="0" w:line="63"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8"/>
          <w:szCs w:val="18"/>
          <w:color w:val="auto"/>
        </w:rPr>
        <w:t>25.5</w:t>
      </w:r>
    </w:p>
    <w:p>
      <w:pPr>
        <w:spacing w:after="0" w:line="63"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8"/>
          <w:szCs w:val="18"/>
          <w:color w:val="auto"/>
        </w:rPr>
        <w:t>13.3</w:t>
      </w:r>
    </w:p>
    <w:p>
      <w:pPr>
        <w:spacing w:after="0" w:line="63"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8"/>
          <w:szCs w:val="18"/>
          <w:color w:val="auto"/>
        </w:rPr>
        <w:t>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17145</wp:posOffset>
            </wp:positionV>
            <wp:extent cx="8401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26" w:lineRule="exact"/>
        <w:rPr>
          <w:sz w:val="20"/>
          <w:szCs w:val="20"/>
          <w:color w:val="auto"/>
        </w:rPr>
      </w:pPr>
    </w:p>
    <w:p>
      <w:pPr>
        <w:spacing w:after="0"/>
        <w:tabs>
          <w:tab w:leader="none" w:pos="800" w:val="left"/>
          <w:tab w:leader="none" w:pos="1400" w:val="left"/>
        </w:tabs>
        <w:rPr>
          <w:sz w:val="20"/>
          <w:szCs w:val="20"/>
          <w:color w:val="auto"/>
        </w:rPr>
      </w:pP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376.1</w:t>
      </w:r>
      <w:r>
        <w:rPr>
          <w:sz w:val="20"/>
          <w:szCs w:val="20"/>
          <w:color w:val="auto"/>
        </w:rPr>
        <w:tab/>
      </w:r>
      <w:r>
        <w:rPr>
          <w:rFonts w:ascii="Times New Roman" w:cs="Times New Roman" w:eastAsia="Times New Roman" w:hAnsi="Times New Roman"/>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36830</wp:posOffset>
            </wp:positionV>
            <wp:extent cx="8401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7"/>
          <w:szCs w:val="17"/>
          <w:color w:val="auto"/>
        </w:rPr>
        <w:t>167.8</w:t>
      </w:r>
    </w:p>
    <w:p>
      <w:pPr>
        <w:spacing w:after="0" w:line="75"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57.6</w:t>
      </w:r>
    </w:p>
    <w:p>
      <w:pPr>
        <w:spacing w:after="0" w:line="6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-534670</wp:posOffset>
            </wp:positionH>
            <wp:positionV relativeFrom="paragraph">
              <wp:posOffset>34290</wp:posOffset>
            </wp:positionV>
            <wp:extent cx="8401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5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7"/>
          <w:szCs w:val="17"/>
          <w:color w:val="auto"/>
        </w:rPr>
        <w:t>242.8</w:t>
      </w:r>
    </w:p>
    <w:p>
      <w:pPr>
        <w:spacing w:after="0" w:line="75"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34.9</w:t>
      </w:r>
    </w:p>
    <w:p>
      <w:pPr>
        <w:spacing w:after="0" w:line="6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43.8</w:t>
      </w:r>
    </w:p>
    <w:p>
      <w:pPr>
        <w:spacing w:after="0" w:line="6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27.6</w:t>
      </w:r>
    </w:p>
    <w:p>
      <w:pPr>
        <w:spacing w:after="0" w:line="6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13.9</w:t>
      </w:r>
    </w:p>
    <w:p>
      <w:pPr>
        <w:spacing w:after="0" w:line="6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-534670</wp:posOffset>
            </wp:positionH>
            <wp:positionV relativeFrom="paragraph">
              <wp:posOffset>34290</wp:posOffset>
            </wp:positionV>
            <wp:extent cx="84010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5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364.1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-534670</wp:posOffset>
            </wp:positionH>
            <wp:positionV relativeFrom="paragraph">
              <wp:posOffset>44450</wp:posOffset>
            </wp:positionV>
            <wp:extent cx="84010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375" w:lineRule="exact"/>
        <w:rPr>
          <w:sz w:val="20"/>
          <w:szCs w:val="20"/>
          <w:color w:val="auto"/>
        </w:rPr>
      </w:pPr>
    </w:p>
    <w:p>
      <w:pPr>
        <w:sectPr>
          <w:pgSz w:w="11900" w:h="16838" w:orient="portrait"/>
          <w:cols w:equalWidth="0" w:num="3">
            <w:col w:w="7800" w:space="720"/>
            <w:col w:w="1520" w:space="720"/>
            <w:col w:w="460"/>
          </w:cols>
          <w:pgMar w:left="320" w:top="121" w:right="359" w:bottom="1440" w:gutter="0" w:footer="0" w:header="0"/>
          <w:type w:val="continuous"/>
        </w:sectPr>
      </w:pPr>
    </w:p>
    <w:tbl>
      <w:tblPr>
        <w:tblLayout w:type="fixed"/>
        <w:tblInd w:w="20" w:type="dxa"/>
        <w:tblCellMar>
          <w:top w:w="0" w:type="dxa"/>
          <w:left w:w="0" w:type="dxa"/>
          <w:bottom w:w="0" w:type="dxa"/>
          <w:right w:w="0" w:type="dxa"/>
        </w:tblCellMar>
      </w:tblPr>
      <w:tr>
        <w:trPr>
          <w:trHeight w:val="234"/>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4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 — current</w:t>
            </w:r>
          </w:p>
        </w:tc>
        <w:tc>
          <w:tcPr>
            <w:tcW w:w="4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 — noncurrent</w:t>
            </w:r>
          </w:p>
        </w:tc>
        <w:tc>
          <w:tcPr>
            <w:tcW w:w="4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liability — noncurrent</w:t>
            </w:r>
          </w:p>
        </w:tc>
        <w:tc>
          <w:tcPr>
            <w:tcW w:w="4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 — noncurrent</w:t>
            </w:r>
          </w:p>
        </w:tc>
        <w:tc>
          <w:tcPr>
            <w:tcW w:w="4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4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5)</w:t>
            </w:r>
          </w:p>
        </w:tc>
        <w:tc>
          <w:tcPr>
            <w:tcW w:w="4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4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 $0.0001 par value per share — 5,000 shares authorized as of March 31, 2022 and December 31,</w:t>
            </w:r>
          </w:p>
        </w:tc>
        <w:tc>
          <w:tcPr>
            <w:tcW w:w="480" w:type="dxa"/>
            <w:vAlign w:val="bottom"/>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2021; zero shares issued and outstanding as of March 31, 2022 and December 31, 2021</w:t>
            </w:r>
          </w:p>
        </w:tc>
        <w:tc>
          <w:tcPr>
            <w:tcW w:w="48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84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Common stock — $0.0001 par value per share — 296,686 shares authorized as of March 31, 2022 and</w:t>
            </w: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8480" w:type="dxa"/>
            <w:vAlign w:val="bottom"/>
          </w:tcPr>
          <w:p>
            <w:pPr>
              <w:ind w:left="160"/>
              <w:spacing w:after="0" w:line="181" w:lineRule="exact"/>
              <w:rPr>
                <w:sz w:val="20"/>
                <w:szCs w:val="20"/>
                <w:color w:val="auto"/>
              </w:rPr>
            </w:pPr>
            <w:r>
              <w:rPr>
                <w:rFonts w:ascii="Times New Roman" w:cs="Times New Roman" w:eastAsia="Times New Roman" w:hAnsi="Times New Roman"/>
                <w:sz w:val="18"/>
                <w:szCs w:val="18"/>
                <w:color w:val="auto"/>
              </w:rPr>
              <w:t>December 31, 2021; 67,138 and 66,722 shares issued and outstanding as of March 31, 2022 and December 31,</w:t>
            </w:r>
          </w:p>
        </w:tc>
        <w:tc>
          <w:tcPr>
            <w:tcW w:w="48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8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2021</w:t>
            </w:r>
          </w:p>
        </w:tc>
        <w:tc>
          <w:tcPr>
            <w:tcW w:w="48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340.2</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4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4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255.4</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-3051175</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-2708275</wp:posOffset>
            </wp:positionV>
            <wp:extent cx="7132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-2356485</wp:posOffset>
            </wp:positionV>
            <wp:extent cx="71323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-2013585</wp:posOffset>
            </wp:positionV>
            <wp:extent cx="71323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-1662430</wp:posOffset>
            </wp:positionV>
            <wp:extent cx="71323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-1319530</wp:posOffset>
            </wp:positionV>
            <wp:extent cx="7132320" cy="2660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2660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-676275</wp:posOffset>
            </wp:positionV>
            <wp:extent cx="71323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-333375</wp:posOffset>
            </wp:positionV>
            <wp:extent cx="71323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968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3.2</w:t>
      </w:r>
    </w:p>
    <w:p>
      <w:pPr>
        <w:spacing w:after="0" w:line="6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32.1</w:t>
      </w:r>
    </w:p>
    <w:p>
      <w:pPr>
        <w:spacing w:after="0" w:line="6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-534670</wp:posOffset>
            </wp:positionH>
            <wp:positionV relativeFrom="paragraph">
              <wp:posOffset>34290</wp:posOffset>
            </wp:positionV>
            <wp:extent cx="84010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5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65.8</w:t>
      </w:r>
    </w:p>
    <w:p>
      <w:pPr>
        <w:spacing w:after="0" w:line="6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24.2</w:t>
      </w:r>
    </w:p>
    <w:p>
      <w:pPr>
        <w:spacing w:after="0" w:line="6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1.8</w:t>
      </w:r>
    </w:p>
    <w:p>
      <w:pPr>
        <w:spacing w:after="0" w:line="6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-534670</wp:posOffset>
            </wp:positionH>
            <wp:positionV relativeFrom="paragraph">
              <wp:posOffset>34290</wp:posOffset>
            </wp:positionV>
            <wp:extent cx="84010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40105" cy="8890"/>
                    </a:xfrm>
                    <a:prstGeom prst="rect">
                      <a:avLst/>
                    </a:prstGeom>
                    <a:noFill/>
                  </pic:spPr>
                </pic:pic>
              </a:graphicData>
            </a:graphic>
          </wp:anchor>
        </w:drawing>
      </w:r>
    </w:p>
    <w:p>
      <w:pPr>
        <w:spacing w:after="0" w:line="5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7"/>
          <w:szCs w:val="17"/>
          <w:color w:val="auto"/>
        </w:rPr>
        <w:t>106.5</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w:t>
      </w:r>
    </w:p>
    <w:p>
      <w:pPr>
        <w:spacing w:after="0" w:line="38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7"/>
          <w:szCs w:val="17"/>
          <w:color w:val="auto"/>
        </w:rPr>
        <w:t>331.6</w:t>
      </w:r>
    </w:p>
    <w:p>
      <w:pPr>
        <w:spacing w:after="0" w:line="75"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0.5</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-534670</wp:posOffset>
            </wp:positionH>
            <wp:positionV relativeFrom="paragraph">
              <wp:posOffset>34290</wp:posOffset>
            </wp:positionV>
            <wp:extent cx="84010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40105" cy="8890"/>
                    </a:xfrm>
                    <a:prstGeom prst="rect">
                      <a:avLst/>
                    </a:prstGeom>
                    <a:noFill/>
                  </pic:spPr>
                </pic:pic>
              </a:graphicData>
            </a:graphic>
          </wp:anchor>
        </w:drawing>
      </w:r>
    </w:p>
    <w:p>
      <w:pPr>
        <w:spacing w:after="0" w:line="5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7"/>
          <w:szCs w:val="17"/>
          <w:color w:val="auto"/>
        </w:rPr>
        <w:t>257.6</w:t>
      </w:r>
    </w:p>
    <w:p>
      <w:pPr>
        <w:spacing w:after="0" w:line="83" w:lineRule="exact"/>
        <w:rPr>
          <w:sz w:val="20"/>
          <w:szCs w:val="20"/>
          <w:color w:val="auto"/>
        </w:rPr>
      </w:pPr>
    </w:p>
    <w:p>
      <w:pPr>
        <w:sectPr>
          <w:pgSz w:w="11900" w:h="16838" w:orient="portrait"/>
          <w:cols w:equalWidth="0" w:num="2">
            <w:col w:w="10040" w:space="720"/>
            <w:col w:w="460"/>
          </w:cols>
          <w:pgMar w:left="320" w:top="121" w:right="359" w:bottom="1440" w:gutter="0" w:footer="0" w:header="0"/>
          <w:type w:val="continuous"/>
        </w:sectPr>
      </w:pPr>
    </w:p>
    <w:p>
      <w:pPr>
        <w:ind w:left="20"/>
        <w:spacing w:after="0"/>
        <w:tabs>
          <w:tab w:leader="none" w:pos="8500" w:val="left"/>
          <w:tab w:leader="none" w:pos="9320" w:val="left"/>
          <w:tab w:leader="none" w:pos="9920" w:val="left"/>
          <w:tab w:leader="none" w:pos="10740" w:val="left"/>
        </w:tabs>
        <w:rPr>
          <w:sz w:val="20"/>
          <w:szCs w:val="20"/>
          <w:color w:val="auto"/>
        </w:rPr>
      </w:pPr>
      <w:r>
        <w:rPr>
          <w:rFonts w:ascii="Times New Roman" w:cs="Times New Roman" w:eastAsia="Times New Roman" w:hAnsi="Times New Roman"/>
          <w:sz w:val="18"/>
          <w:szCs w:val="18"/>
          <w:b w:val="1"/>
          <w:bCs w:val="1"/>
          <w:color w:val="auto"/>
        </w:rPr>
        <w:t>Total Liabilities and Stockholders’ Equity</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376.1</w:t>
        <w:tab/>
        <w:t>$</w:t>
      </w:r>
      <w:r>
        <w:rPr>
          <w:sz w:val="20"/>
          <w:szCs w:val="20"/>
          <w:color w:val="auto"/>
        </w:rPr>
        <w:tab/>
      </w:r>
      <w:r>
        <w:rPr>
          <w:rFonts w:ascii="Times New Roman" w:cs="Times New Roman" w:eastAsia="Times New Roman" w:hAnsi="Times New Roman"/>
          <w:sz w:val="17"/>
          <w:szCs w:val="17"/>
          <w:b w:val="1"/>
          <w:bCs w:val="1"/>
          <w:color w:val="auto"/>
        </w:rPr>
        <w:t>364.1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62865</wp:posOffset>
            </wp:positionV>
            <wp:extent cx="17399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739900" cy="8890"/>
                    </a:xfrm>
                    <a:prstGeom prst="rect">
                      <a:avLst/>
                    </a:prstGeom>
                    <a:noFill/>
                  </pic:spPr>
                </pic:pic>
              </a:graphicData>
            </a:graphic>
          </wp:anchor>
        </w:drawing>
      </w: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ectPr>
          <w:pgSz w:w="11900" w:h="16838" w:orient="portrait"/>
          <w:cols w:equalWidth="0" w:num="1">
            <w:col w:w="11220"/>
          </w:cols>
          <w:pgMar w:left="320" w:top="12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20" w:type="dxa"/>
            <w:vAlign w:val="bottom"/>
            <w:gridSpan w:val="4"/>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8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5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8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90.0</w:t>
            </w:r>
          </w:p>
        </w:tc>
        <w:tc>
          <w:tcPr>
            <w:tcW w:w="0" w:type="dxa"/>
            <w:vAlign w:val="bottom"/>
          </w:tcPr>
          <w:p>
            <w:pPr>
              <w:spacing w:after="0"/>
              <w:rPr>
                <w:sz w:val="1"/>
                <w:szCs w:val="1"/>
                <w:color w:val="auto"/>
              </w:rPr>
            </w:pPr>
          </w:p>
        </w:tc>
      </w:tr>
      <w:tr>
        <w:trPr>
          <w:trHeight w:val="22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contingent consideration related to earnouts</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37"/>
        </w:trPr>
        <w:tc>
          <w:tcPr>
            <w:tcW w:w="8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0" w:type="dxa"/>
            <w:vAlign w:val="bottom"/>
          </w:tcPr>
          <w:p>
            <w:pPr>
              <w:spacing w:after="0"/>
              <w:rPr>
                <w:sz w:val="1"/>
                <w:szCs w:val="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2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losses, net</w:t>
            </w:r>
          </w:p>
        </w:tc>
        <w:tc>
          <w:tcPr>
            <w:tcW w:w="3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other expense</w:t>
            </w: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36"/>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6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w:t>
            </w:r>
          </w:p>
        </w:tc>
        <w:tc>
          <w:tcPr>
            <w:tcW w:w="0" w:type="dxa"/>
            <w:vAlign w:val="bottom"/>
          </w:tcPr>
          <w:p>
            <w:pPr>
              <w:spacing w:after="0"/>
              <w:rPr>
                <w:sz w:val="1"/>
                <w:szCs w:val="1"/>
                <w:color w:val="auto"/>
              </w:rPr>
            </w:pP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Share Attributable to Common Stockholders</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Shares Used in Computing Net Loss Per Share Attributable to Common Stockholders</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0" w:type="dxa"/>
            <w:vAlign w:val="bottom"/>
          </w:tcPr>
          <w:p>
            <w:pPr>
              <w:spacing w:after="0"/>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20" w:type="dxa"/>
            <w:vAlign w:val="bottom"/>
            <w:gridSpan w:val="4"/>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8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5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8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foreign currency translation</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6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1"/>
        </w:trPr>
        <w:tc>
          <w:tcPr>
            <w:tcW w:w="8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31" w:lineRule="exact"/>
        <w:rPr>
          <w:sz w:val="20"/>
          <w:szCs w:val="20"/>
          <w:color w:val="auto"/>
        </w:rPr>
      </w:pPr>
    </w:p>
    <w:p>
      <w:pPr>
        <w:ind w:right="1660"/>
        <w:spacing w:after="0" w:line="250" w:lineRule="auto"/>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Unaudited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5800" w:type="dxa"/>
            <w:vAlign w:val="bottom"/>
          </w:tcPr>
          <w:p>
            <w:pPr>
              <w:spacing w:after="0"/>
              <w:rPr>
                <w:sz w:val="15"/>
                <w:szCs w:val="15"/>
                <w:color w:val="auto"/>
              </w:rPr>
            </w:pPr>
          </w:p>
        </w:tc>
        <w:tc>
          <w:tcPr>
            <w:tcW w:w="16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76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0" w:type="dxa"/>
            <w:vAlign w:val="bottom"/>
          </w:tcPr>
          <w:p>
            <w:pPr>
              <w:spacing w:after="0"/>
              <w:rPr>
                <w:sz w:val="1"/>
                <w:szCs w:val="1"/>
                <w:color w:val="auto"/>
              </w:rPr>
            </w:pPr>
          </w:p>
        </w:tc>
      </w:tr>
      <w:tr>
        <w:trPr>
          <w:trHeight w:val="96"/>
        </w:trPr>
        <w:tc>
          <w:tcPr>
            <w:tcW w:w="5800" w:type="dxa"/>
            <w:vAlign w:val="bottom"/>
          </w:tcPr>
          <w:p>
            <w:pPr>
              <w:spacing w:after="0"/>
              <w:rPr>
                <w:sz w:val="8"/>
                <w:szCs w:val="8"/>
                <w:color w:val="auto"/>
              </w:rPr>
            </w:pPr>
          </w:p>
        </w:tc>
        <w:tc>
          <w:tcPr>
            <w:tcW w:w="1620" w:type="dxa"/>
            <w:vAlign w:val="bottom"/>
            <w:gridSpan w:val="2"/>
            <w:vMerge w:val="continue"/>
          </w:tcPr>
          <w:p>
            <w:pPr>
              <w:spacing w:after="0"/>
              <w:rPr>
                <w:sz w:val="8"/>
                <w:szCs w:val="8"/>
                <w:color w:val="auto"/>
              </w:rPr>
            </w:pPr>
          </w:p>
        </w:tc>
        <w:tc>
          <w:tcPr>
            <w:tcW w:w="760" w:type="dxa"/>
            <w:vAlign w:val="bottom"/>
            <w:vMerge w:val="restart"/>
          </w:tcPr>
          <w:p>
            <w:pPr>
              <w:jc w:val="center"/>
              <w:ind w:left="48"/>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0" w:type="dxa"/>
            <w:vAlign w:val="bottom"/>
          </w:tcPr>
          <w:p>
            <w:pPr>
              <w:spacing w:after="0"/>
              <w:rPr>
                <w:sz w:val="1"/>
                <w:szCs w:val="1"/>
                <w:color w:val="auto"/>
              </w:rPr>
            </w:pPr>
          </w:p>
        </w:tc>
      </w:tr>
      <w:tr>
        <w:trPr>
          <w:trHeight w:val="37"/>
        </w:trPr>
        <w:tc>
          <w:tcPr>
            <w:tcW w:w="580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58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 except share amounts which are in thousands)</w:t>
            </w:r>
          </w:p>
        </w:tc>
        <w:tc>
          <w:tcPr>
            <w:tcW w:w="80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2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97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p>
      <w:pPr>
        <w:spacing w:after="0" w:line="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color w:val="auto"/>
        </w:rPr>
        <w:t>Other</w:t>
      </w:r>
    </w:p>
    <w:p>
      <w:pPr>
        <w:spacing w:after="0" w:line="4" w:lineRule="exact"/>
        <w:rPr>
          <w:sz w:val="20"/>
          <w:szCs w:val="20"/>
          <w:color w:val="auto"/>
        </w:rPr>
      </w:pPr>
    </w:p>
    <w:p>
      <w:pPr>
        <w:spacing w:after="0"/>
        <w:tabs>
          <w:tab w:leader="none" w:pos="1060" w:val="left"/>
          <w:tab w:leader="none" w:pos="2020" w:val="left"/>
        </w:tabs>
        <w:rPr>
          <w:sz w:val="20"/>
          <w:szCs w:val="20"/>
          <w:color w:val="auto"/>
        </w:rPr>
      </w:pPr>
      <w:r>
        <w:rPr>
          <w:rFonts w:ascii="Times New Roman" w:cs="Times New Roman" w:eastAsia="Times New Roman" w:hAnsi="Times New Roman"/>
          <w:sz w:val="14"/>
          <w:szCs w:val="14"/>
          <w:b w:val="1"/>
          <w:bCs w:val="1"/>
          <w:color w:val="auto"/>
        </w:rPr>
        <w:t>Comprehensive</w:t>
        <w:tab/>
        <w:t>Accumulated</w:t>
        <w:tab/>
        <w:t>Stockholders’</w:t>
      </w:r>
    </w:p>
    <w:p>
      <w:pPr>
        <w:spacing w:after="0" w:line="15" w:lineRule="exact"/>
        <w:rPr>
          <w:sz w:val="20"/>
          <w:szCs w:val="20"/>
          <w:color w:val="auto"/>
        </w:rPr>
      </w:pPr>
    </w:p>
    <w:p>
      <w:pPr>
        <w:ind w:left="260"/>
        <w:spacing w:after="0"/>
        <w:tabs>
          <w:tab w:leader="none" w:pos="1280" w:val="left"/>
          <w:tab w:leader="none" w:pos="2220" w:val="left"/>
        </w:tabs>
        <w:rPr>
          <w:sz w:val="20"/>
          <w:szCs w:val="20"/>
          <w:color w:val="auto"/>
        </w:rPr>
      </w:pPr>
      <w:r>
        <w:rPr>
          <w:rFonts w:ascii="Times New Roman" w:cs="Times New Roman" w:eastAsia="Times New Roman" w:hAnsi="Times New Roman"/>
          <w:sz w:val="14"/>
          <w:szCs w:val="14"/>
          <w:b w:val="1"/>
          <w:bCs w:val="1"/>
          <w:color w:val="auto"/>
        </w:rPr>
        <w:t>Income</w:t>
      </w:r>
      <w:r>
        <w:rPr>
          <w:sz w:val="20"/>
          <w:szCs w:val="20"/>
          <w:color w:val="auto"/>
        </w:rPr>
        <w:tab/>
      </w:r>
      <w:r>
        <w:rPr>
          <w:rFonts w:ascii="Times New Roman" w:cs="Times New Roman" w:eastAsia="Times New Roman" w:hAnsi="Times New Roman"/>
          <w:sz w:val="14"/>
          <w:szCs w:val="14"/>
          <w:b w:val="1"/>
          <w:bCs w:val="1"/>
          <w:color w:val="auto"/>
        </w:rPr>
        <w:t>Deficit</w:t>
      </w:r>
      <w:r>
        <w:rPr>
          <w:sz w:val="20"/>
          <w:szCs w:val="20"/>
          <w:color w:val="auto"/>
        </w:rPr>
        <w:tab/>
      </w:r>
      <w:r>
        <w:rPr>
          <w:rFonts w:ascii="Times New Roman" w:cs="Times New Roman" w:eastAsia="Times New Roman" w:hAnsi="Times New Roman"/>
          <w:sz w:val="14"/>
          <w:szCs w:val="14"/>
          <w:b w:val="1"/>
          <w:bCs w:val="1"/>
          <w:color w:val="auto"/>
        </w:rPr>
        <w:t>Equity</w:t>
      </w:r>
    </w:p>
    <w:p>
      <w:pPr>
        <w:spacing w:after="0" w:line="66" w:lineRule="exact"/>
        <w:rPr>
          <w:sz w:val="20"/>
          <w:szCs w:val="20"/>
          <w:color w:val="auto"/>
        </w:rPr>
      </w:pPr>
    </w:p>
    <w:p>
      <w:pPr>
        <w:sectPr>
          <w:pgSz w:w="11900" w:h="16838" w:orient="portrait"/>
          <w:cols w:equalWidth="0" w:num="2">
            <w:col w:w="8200" w:space="140"/>
            <w:col w:w="2900"/>
          </w:cols>
          <w:pgMar w:left="320" w:top="333" w:right="339" w:bottom="1440" w:gutter="0" w:footer="0" w:header="0"/>
        </w:sectPr>
      </w:pP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Issuance of Class A common stock upon exercise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2654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7" w:lineRule="exact"/>
        <w:rPr>
          <w:sz w:val="20"/>
          <w:szCs w:val="20"/>
          <w:color w:val="auto"/>
        </w:rPr>
      </w:pPr>
    </w:p>
    <w:p>
      <w:pPr>
        <w:ind w:left="180" w:hanging="161"/>
        <w:spacing w:after="0" w:line="234" w:lineRule="auto"/>
        <w:rPr>
          <w:sz w:val="20"/>
          <w:szCs w:val="20"/>
          <w:color w:val="auto"/>
        </w:rPr>
      </w:pPr>
      <w:r>
        <w:rPr>
          <w:rFonts w:ascii="Times New Roman" w:cs="Times New Roman" w:eastAsia="Times New Roman" w:hAnsi="Times New Roman"/>
          <w:sz w:val="18"/>
          <w:szCs w:val="18"/>
          <w:color w:val="auto"/>
        </w:rPr>
        <w:t>Issuance of Class A common stock pursuant to settlement of restricted stock units</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comprehensive loss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974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share amounts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797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66,722</w:t>
            </w:r>
          </w:p>
        </w:tc>
        <w:tc>
          <w:tcPr>
            <w:tcW w:w="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331.6</w:t>
            </w:r>
          </w:p>
        </w:tc>
        <w:tc>
          <w:tcPr>
            <w:tcW w:w="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center"/>
              <w:ind w:left="357"/>
              <w:spacing w:after="0"/>
              <w:rPr>
                <w:sz w:val="20"/>
                <w:szCs w:val="20"/>
                <w:color w:val="auto"/>
              </w:rPr>
            </w:pPr>
            <w:r>
              <w:rPr>
                <w:rFonts w:ascii="Times New Roman" w:cs="Times New Roman" w:eastAsia="Times New Roman" w:hAnsi="Times New Roman"/>
                <w:sz w:val="18"/>
                <w:szCs w:val="18"/>
                <w:b w:val="1"/>
                <w:bCs w:val="1"/>
                <w:color w:val="auto"/>
              </w:rPr>
              <w:t>0.5</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(74.5)</w:t>
            </w:r>
          </w:p>
        </w:tc>
        <w:tc>
          <w:tcPr>
            <w:tcW w:w="80" w:type="dxa"/>
            <w:vAlign w:val="bottom"/>
          </w:tcPr>
          <w:p>
            <w:pPr>
              <w:spacing w:after="0"/>
              <w:rPr>
                <w:sz w:val="20"/>
                <w:szCs w:val="20"/>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257.6</w:t>
            </w:r>
          </w:p>
        </w:tc>
        <w:tc>
          <w:tcPr>
            <w:tcW w:w="0" w:type="dxa"/>
            <w:vAlign w:val="bottom"/>
          </w:tcPr>
          <w:p>
            <w:pPr>
              <w:spacing w:after="0"/>
              <w:rPr>
                <w:sz w:val="1"/>
                <w:szCs w:val="1"/>
                <w:color w:val="auto"/>
              </w:rPr>
            </w:pPr>
          </w:p>
        </w:tc>
      </w:tr>
      <w:tr>
        <w:trPr>
          <w:trHeight w:val="270"/>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418"/>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70"/>
        </w:trPr>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center"/>
              <w:ind w:left="337"/>
              <w:spacing w:after="0"/>
              <w:rPr>
                <w:sz w:val="20"/>
                <w:szCs w:val="20"/>
                <w:color w:val="auto"/>
              </w:rPr>
            </w:pPr>
            <w:r>
              <w:rPr>
                <w:rFonts w:ascii="Times New Roman" w:cs="Times New Roman" w:eastAsia="Times New Roman" w:hAnsi="Times New Roman"/>
                <w:sz w:val="18"/>
                <w:szCs w:val="18"/>
                <w:color w:val="auto"/>
                <w:w w:val="98"/>
              </w:rPr>
              <w:t>(0.3)</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70"/>
        </w:trPr>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7"/>
        </w:trPr>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67,138</w:t>
            </w:r>
          </w:p>
        </w:tc>
        <w:tc>
          <w:tcPr>
            <w:tcW w:w="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340.2</w:t>
            </w:r>
          </w:p>
        </w:tc>
        <w:tc>
          <w:tcPr>
            <w:tcW w:w="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center"/>
              <w:ind w:left="357"/>
              <w:spacing w:after="0"/>
              <w:rPr>
                <w:sz w:val="20"/>
                <w:szCs w:val="20"/>
                <w:color w:val="auto"/>
              </w:rPr>
            </w:pPr>
            <w:r>
              <w:rPr>
                <w:rFonts w:ascii="Times New Roman" w:cs="Times New Roman" w:eastAsia="Times New Roman" w:hAnsi="Times New Roman"/>
                <w:sz w:val="18"/>
                <w:szCs w:val="18"/>
                <w:b w:val="1"/>
                <w:bCs w:val="1"/>
                <w:color w:val="auto"/>
              </w:rPr>
              <w:t>0.2</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(85.0)</w:t>
            </w:r>
          </w:p>
        </w:tc>
        <w:tc>
          <w:tcPr>
            <w:tcW w:w="80" w:type="dxa"/>
            <w:vAlign w:val="bottom"/>
          </w:tcPr>
          <w:p>
            <w:pPr>
              <w:spacing w:after="0"/>
              <w:rPr>
                <w:sz w:val="20"/>
                <w:szCs w:val="20"/>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255.4</w:t>
            </w:r>
          </w:p>
        </w:tc>
        <w:tc>
          <w:tcPr>
            <w:tcW w:w="0" w:type="dxa"/>
            <w:vAlign w:val="bottom"/>
          </w:tcPr>
          <w:p>
            <w:pPr>
              <w:spacing w:after="0"/>
              <w:rPr>
                <w:sz w:val="1"/>
                <w:szCs w:val="1"/>
                <w:color w:val="auto"/>
              </w:rPr>
            </w:pPr>
          </w:p>
        </w:tc>
      </w:tr>
      <w:tr>
        <w:trPr>
          <w:trHeight w:val="27"/>
        </w:trPr>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5"/>
        </w:trPr>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700" w:type="dxa"/>
            <w:vAlign w:val="bottom"/>
            <w:gridSpan w:val="5"/>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5"/>
                <w:szCs w:val="15"/>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170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2"/>
            <w:vMerge w:val="restart"/>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80" w:type="dxa"/>
            <w:vAlign w:val="bottom"/>
            <w:gridSpan w:val="3"/>
            <w:vMerge w:val="restart"/>
          </w:tcPr>
          <w:p>
            <w:pPr>
              <w:jc w:val="center"/>
              <w:ind w:right="8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40" w:type="dxa"/>
            <w:vAlign w:val="bottom"/>
            <w:gridSpan w:val="3"/>
            <w:vMerge w:val="restart"/>
          </w:tcPr>
          <w:p>
            <w:pPr>
              <w:jc w:val="right"/>
              <w:ind w:right="10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900" w:type="dxa"/>
            <w:vAlign w:val="bottom"/>
            <w:gridSpan w:val="2"/>
            <w:vMerge w:val="restart"/>
          </w:tcPr>
          <w:p>
            <w:pPr>
              <w:ind w:left="40"/>
              <w:spacing w:after="0" w:line="12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37"/>
        </w:trPr>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1080" w:type="dxa"/>
            <w:vAlign w:val="bottom"/>
            <w:gridSpan w:val="3"/>
            <w:vMerge w:val="continue"/>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9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7"/>
                <w:szCs w:val="17"/>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7"/>
                <w:szCs w:val="17"/>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80" w:type="dxa"/>
            <w:vAlign w:val="bottom"/>
          </w:tcPr>
          <w:p>
            <w:pPr>
              <w:spacing w:after="0"/>
              <w:rPr>
                <w:sz w:val="17"/>
                <w:szCs w:val="17"/>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Pr>
          <w:p>
            <w:pPr>
              <w:spacing w:after="0"/>
              <w:rPr>
                <w:sz w:val="17"/>
                <w:szCs w:val="17"/>
                <w:color w:val="auto"/>
              </w:rPr>
            </w:pPr>
          </w:p>
        </w:tc>
        <w:tc>
          <w:tcPr>
            <w:tcW w:w="72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bl>
    <w:p>
      <w:pPr>
        <w:spacing w:after="0" w:line="55" w:lineRule="exact"/>
        <w:rPr>
          <w:sz w:val="20"/>
          <w:szCs w:val="20"/>
          <w:color w:val="auto"/>
        </w:rPr>
      </w:pPr>
    </w:p>
    <w:p>
      <w:pPr>
        <w:sectPr>
          <w:pgSz w:w="11900" w:h="16838" w:orient="portrait"/>
          <w:cols w:equalWidth="0" w:num="2">
            <w:col w:w="5520" w:space="300"/>
            <w:col w:w="5420"/>
          </w:cols>
          <w:pgMar w:left="320" w:top="333" w:right="339" w:bottom="1440" w:gutter="0" w:footer="0" w:header="0"/>
          <w:type w:val="continuous"/>
        </w:sectPr>
      </w:pP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2020</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Issuance of Class A common stock upon exercise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2654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7" w:lineRule="exact"/>
        <w:rPr>
          <w:sz w:val="20"/>
          <w:szCs w:val="20"/>
          <w:color w:val="auto"/>
        </w:rPr>
      </w:pPr>
    </w:p>
    <w:p>
      <w:pPr>
        <w:ind w:left="180" w:hanging="161"/>
        <w:spacing w:after="0" w:line="234" w:lineRule="auto"/>
        <w:rPr>
          <w:sz w:val="20"/>
          <w:szCs w:val="20"/>
          <w:color w:val="auto"/>
        </w:rPr>
      </w:pPr>
      <w:r>
        <w:rPr>
          <w:rFonts w:ascii="Times New Roman" w:cs="Times New Roman" w:eastAsia="Times New Roman" w:hAnsi="Times New Roman"/>
          <w:sz w:val="18"/>
          <w:szCs w:val="18"/>
          <w:color w:val="auto"/>
        </w:rPr>
        <w:t>Issuance of Class A common stock pursuant to settlement of restricted stock units</w:t>
      </w:r>
    </w:p>
    <w:p>
      <w:pPr>
        <w:spacing w:after="0" w:line="10" w:lineRule="exact"/>
        <w:rPr>
          <w:sz w:val="20"/>
          <w:szCs w:val="20"/>
          <w:color w:val="auto"/>
        </w:rPr>
      </w:pPr>
    </w:p>
    <w:p>
      <w:pPr>
        <w:ind w:left="180" w:right="540" w:hanging="161"/>
        <w:spacing w:after="0" w:line="237" w:lineRule="auto"/>
        <w:rPr>
          <w:sz w:val="20"/>
          <w:szCs w:val="20"/>
          <w:color w:val="auto"/>
        </w:rPr>
      </w:pPr>
      <w:r>
        <w:rPr>
          <w:rFonts w:ascii="Times New Roman" w:cs="Times New Roman" w:eastAsia="Times New Roman" w:hAnsi="Times New Roman"/>
          <w:sz w:val="18"/>
          <w:szCs w:val="18"/>
          <w:color w:val="auto"/>
        </w:rPr>
        <w:t>Class A common stock surrendered for employees’ tax liability upon settlement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Repurchase of stock options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Repurchase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Repurchase of Class F common stock</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968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48,853</w:t>
            </w:r>
          </w:p>
        </w:tc>
        <w:tc>
          <w:tcPr>
            <w:tcW w:w="8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99.8</w:t>
            </w:r>
          </w:p>
        </w:tc>
        <w:tc>
          <w:tcPr>
            <w:tcW w:w="80" w:type="dxa"/>
            <w:vAlign w:val="bottom"/>
          </w:tcPr>
          <w:p>
            <w:pPr>
              <w:spacing w:after="0"/>
              <w:rPr>
                <w:sz w:val="23"/>
                <w:szCs w:val="23"/>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0.6</w:t>
            </w:r>
          </w:p>
        </w:tc>
        <w:tc>
          <w:tcPr>
            <w:tcW w:w="8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(17.7)</w:t>
            </w:r>
          </w:p>
        </w:tc>
        <w:tc>
          <w:tcPr>
            <w:tcW w:w="8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82.7</w:t>
            </w:r>
          </w:p>
        </w:tc>
      </w:tr>
      <w:tr>
        <w:trPr>
          <w:trHeight w:val="270"/>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92"/>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45"/>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43"/>
        </w:trPr>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0"/>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70"/>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97"/>
        </w:trPr>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70"/>
        </w:trPr>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43"/>
        </w:trPr>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7"/>
        </w:trPr>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63"/>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49,052</w:t>
            </w:r>
          </w:p>
        </w:tc>
        <w:tc>
          <w:tcPr>
            <w:tcW w:w="80" w:type="dxa"/>
            <w:vAlign w:val="bottom"/>
          </w:tcPr>
          <w:p>
            <w:pPr>
              <w:spacing w:after="0"/>
              <w:rPr>
                <w:sz w:val="22"/>
                <w:szCs w:val="22"/>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105.5</w:t>
            </w:r>
          </w:p>
        </w:tc>
        <w:tc>
          <w:tcPr>
            <w:tcW w:w="80" w:type="dxa"/>
            <w:vAlign w:val="bottom"/>
          </w:tcPr>
          <w:p>
            <w:pPr>
              <w:spacing w:after="0"/>
              <w:rPr>
                <w:sz w:val="22"/>
                <w:szCs w:val="22"/>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0.8</w:t>
            </w:r>
          </w:p>
        </w:tc>
        <w:tc>
          <w:tcPr>
            <w:tcW w:w="8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(44.8)</w:t>
            </w:r>
          </w:p>
        </w:tc>
        <w:tc>
          <w:tcPr>
            <w:tcW w:w="8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61.5</w:t>
            </w:r>
          </w:p>
        </w:tc>
      </w:tr>
      <w:tr>
        <w:trPr>
          <w:trHeight w:val="21"/>
        </w:trPr>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520" w:space="300"/>
            <w:col w:w="5420"/>
          </w:cols>
          <w:pgMar w:left="320" w:top="333" w:right="339" w:bottom="1440" w:gutter="0" w:footer="0" w:header="0"/>
          <w:type w:val="continuous"/>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20" w:type="dxa"/>
            <w:vAlign w:val="bottom"/>
            <w:gridSpan w:val="4"/>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8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7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8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(used in)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7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43"/>
        </w:trPr>
        <w:tc>
          <w:tcPr>
            <w:tcW w:w="87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Change in fair value of contingent consideration related to earnouts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taxes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3"/>
        </w:trPr>
        <w:tc>
          <w:tcPr>
            <w:tcW w:w="87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Non-cash lease costs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net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43"/>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43"/>
        </w:trPr>
        <w:tc>
          <w:tcPr>
            <w:tcW w:w="87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43"/>
        </w:trPr>
        <w:tc>
          <w:tcPr>
            <w:tcW w:w="87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43"/>
        </w:trPr>
        <w:tc>
          <w:tcPr>
            <w:tcW w:w="87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 liabilities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7"/>
        </w:trPr>
        <w:tc>
          <w:tcPr>
            <w:tcW w:w="8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3"/>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43"/>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7"/>
        </w:trPr>
        <w:tc>
          <w:tcPr>
            <w:tcW w:w="8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23"/>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 of Class A common stock</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43"/>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Repurchase of Class F common stock</w:t>
            </w:r>
          </w:p>
        </w:tc>
        <w:tc>
          <w:tcPr>
            <w:tcW w:w="28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 of stock options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3"/>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Repurchase of Series A redeemable convertible preferred stock</w:t>
            </w:r>
          </w:p>
        </w:tc>
        <w:tc>
          <w:tcPr>
            <w:tcW w:w="28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payments related to net-share settlements on restricted stock units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43"/>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of offering costs related to initial public offering</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37"/>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7"/>
        </w:trPr>
        <w:tc>
          <w:tcPr>
            <w:tcW w:w="8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43"/>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0" w:type="dxa"/>
            <w:vAlign w:val="bottom"/>
          </w:tcPr>
          <w:p>
            <w:pPr>
              <w:spacing w:after="0"/>
              <w:rPr>
                <w:sz w:val="1"/>
                <w:szCs w:val="1"/>
                <w:color w:val="auto"/>
              </w:rPr>
            </w:pPr>
          </w:p>
        </w:tc>
      </w:tr>
      <w:tr>
        <w:trPr>
          <w:trHeight w:val="263"/>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0" w:type="dxa"/>
            <w:vAlign w:val="bottom"/>
          </w:tcPr>
          <w:p>
            <w:pPr>
              <w:spacing w:after="0"/>
              <w:rPr>
                <w:sz w:val="1"/>
                <w:szCs w:val="1"/>
                <w:color w:val="auto"/>
              </w:rPr>
            </w:pPr>
          </w:p>
        </w:tc>
      </w:tr>
      <w:tr>
        <w:trPr>
          <w:trHeight w:val="20"/>
        </w:trPr>
        <w:tc>
          <w:tcPr>
            <w:tcW w:w="8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Investing and Financing Activities:</w:t>
            </w: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Capitalized software development costs recorded in accounts payable and accrued expenses and other current liabilities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of property and equipment recorded in accounts payable and accrued expenses and other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43"/>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Offering costs related to initial public offering not yet paid</w:t>
            </w:r>
          </w:p>
        </w:tc>
        <w:tc>
          <w:tcPr>
            <w:tcW w:w="28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payments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3"/>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Disclosure Related to Operating Leases:</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310"/>
        </w:trPr>
        <w:tc>
          <w:tcPr>
            <w:tcW w:w="8740" w:type="dxa"/>
            <w:vAlign w:val="bottom"/>
            <w:gridSpan w:val="2"/>
          </w:tcPr>
          <w:p>
            <w:pPr>
              <w:ind w:left="354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3" w:right="339" w:bottom="938" w:gutter="0" w:footer="0" w:header="0"/>
        </w:sect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938"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Company and Basis of Presentation</w:t>
      </w:r>
    </w:p>
    <w:p>
      <w:pPr>
        <w:spacing w:after="0" w:line="171"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The Company — </w:t>
      </w:r>
      <w:r>
        <w:rPr>
          <w:rFonts w:ascii="Times New Roman" w:cs="Times New Roman" w:eastAsia="Times New Roman" w:hAnsi="Times New Roman"/>
          <w:sz w:val="18"/>
          <w:szCs w:val="18"/>
          <w:color w:val="auto"/>
        </w:rPr>
        <w:t>NerdWallet, Inc., a Delaware corporation, was formed on December 29, 2011. NerdWallet, Inc. and its subsidiaries (collectively,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provide consumer-driven advice about personal finance through its platform by connecting individuals and small and mid-sized businesses (SMBs) with providers of financial products.</w:t>
      </w:r>
    </w:p>
    <w:p>
      <w:pPr>
        <w:spacing w:after="0" w:line="11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Basis of Presentation — </w:t>
      </w:r>
      <w:r>
        <w:rPr>
          <w:rFonts w:ascii="Times New Roman" w:cs="Times New Roman" w:eastAsia="Times New Roman" w:hAnsi="Times New Roman"/>
          <w:sz w:val="18"/>
          <w:szCs w:val="18"/>
          <w:color w:val="auto"/>
        </w:rPr>
        <w:t>The accompanying unaudited interim condensed consolidated financial statements have been prepared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accounting principles generally accepted in the United States of America (GAAP) and applicable rules and regulations of the U.S. Securities and Exchange Commission (SEC) regarding interim financial reporting. Accordingly, the accompanying condensed consolidated financial statements do not include all disclosures normally required in annual consolidated financial statements prepared in accordance with GAAP. The accompanying condensed consolidated financial statements should be read in conjunction with the Company’s audited financial statements and notes included in the Company’s Annual Report on Form 10-K for the year ended December 31, 2021.</w:t>
      </w:r>
    </w:p>
    <w:p>
      <w:pPr>
        <w:spacing w:after="0" w:line="13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the opinion of management, the accompanying unaudited interim condensed consolidated financial statements have been prepared on the same basis as the audited financial statements, and include all adjustments, consisting only of normal recurring adjustments, necessary for the fair statement of the Company’s financial position and results of operations for the periods presented. The accompanying condensed consolidated financial statements include the accounts of the Company and its wholly-owned subsidiaries. All intercompany transactions and balances have been eliminated in consolidation. The results of operations for the three months ended March 31, 2022 are not necessarily indicative of the results to be expected for the full year or any other future period.</w:t>
      </w:r>
    </w:p>
    <w:p>
      <w:pPr>
        <w:spacing w:after="0" w:line="129"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color w:val="auto"/>
        </w:rPr>
        <w:t>— During the three months ended March 31, 2022, there have been no material changes to the Company’s significant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accounting policies as disclosed in Note 1 – The Company and its Significant Accounting Policies in the notes to the consolidated financial statements in the Company’s Annual Report on Form 10-K for the year ended December 31, 2021.</w:t>
      </w:r>
    </w:p>
    <w:p>
      <w:pPr>
        <w:spacing w:after="0" w:line="11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Recently Adopted Accounting Pronouncements </w:t>
      </w:r>
      <w:r>
        <w:rPr>
          <w:rFonts w:ascii="Times New Roman" w:cs="Times New Roman" w:eastAsia="Times New Roman" w:hAnsi="Times New Roman"/>
          <w:sz w:val="18"/>
          <w:szCs w:val="18"/>
          <w:color w:val="auto"/>
        </w:rPr>
        <w:t>— In June 2016, the FASB issued ASU 2016-13,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Measurement of Credit Losses on Financial Instruments</w:t>
      </w:r>
      <w:r>
        <w:rPr>
          <w:rFonts w:ascii="Times New Roman" w:cs="Times New Roman" w:eastAsia="Times New Roman" w:hAnsi="Times New Roman"/>
          <w:sz w:val="18"/>
          <w:szCs w:val="18"/>
          <w:color w:val="auto"/>
        </w:rPr>
        <w:t>, establishing ASC Topic 326, and amended the guidance thereafter (ASC 326). ASC 326 requires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measurement and recognition of expected credit losses for financial assets held at amortized cost; the Company’s financial assets that are in the scope of ASC 326 includes the Company’s accounts receivable, certain financial instruments and contract assets. ASC 326 replaces the prior incurred loss impairment model with an expected loss methodology, which results in more timely recognition of credit losses. The Company adopted the provisions of ASC 326 as of January 1, 2022 (two years after the effective date for public business entities due to the Company’s election under its EGC status), and such adoption did not have an impact on the Company’s financial condition and results of operations within its condensed consolidated financial statements.</w:t>
      </w:r>
    </w:p>
    <w:p>
      <w:pPr>
        <w:spacing w:after="0" w:line="13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October 2021, the FASB issued ASU 2021-08, </w:t>
      </w:r>
      <w:r>
        <w:rPr>
          <w:rFonts w:ascii="Times New Roman" w:cs="Times New Roman" w:eastAsia="Times New Roman" w:hAnsi="Times New Roman"/>
          <w:sz w:val="18"/>
          <w:szCs w:val="18"/>
          <w:i w:val="1"/>
          <w:iCs w:val="1"/>
          <w:color w:val="auto"/>
        </w:rPr>
        <w:t>Business Combinations (Topic 805): Accounting for Contract Assets and Contract Liabilities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Contracts with Customers </w:t>
      </w:r>
      <w:r>
        <w:rPr>
          <w:rFonts w:ascii="Times New Roman" w:cs="Times New Roman" w:eastAsia="Times New Roman" w:hAnsi="Times New Roman"/>
          <w:sz w:val="18"/>
          <w:szCs w:val="18"/>
          <w:color w:val="auto"/>
        </w:rPr>
        <w:t>(ASU 2021-08), to address diversity and inconsistency related to the recognition and measurement of contract assets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contract liabilities acquired in a business combination. The guidance in ASU 2021-08 states that an acquirer should recognize and measure contract assets and contract liabilities acquired in a business combination in accordance with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The amendments in ASU 2021-08 will be applied prospectively to any business combinations that occur during or after the fiscal year of adoption The Company adopted the provisions of ASU 2021-08 as of January 1, 2022, and such adoption did not have an impact on the Company’s financial condition and results of operations within its condensed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w:t>
      </w:r>
    </w:p>
    <w:p>
      <w:pPr>
        <w:spacing w:after="0" w:line="17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presents a disaggregation of the Company’s revenue based on product category:</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20" w:type="dxa"/>
            <w:vAlign w:val="bottom"/>
            <w:gridSpan w:val="4"/>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8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5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8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cards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Loans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verticals</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26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0" w:type="dxa"/>
            <w:vAlign w:val="bottom"/>
          </w:tcPr>
          <w:p>
            <w:pPr>
              <w:spacing w:after="0"/>
              <w:rPr>
                <w:sz w:val="1"/>
                <w:szCs w:val="1"/>
                <w:color w:val="auto"/>
              </w:rPr>
            </w:pPr>
          </w:p>
        </w:tc>
      </w:tr>
      <w:tr>
        <w:trPr>
          <w:trHeight w:val="21"/>
        </w:trPr>
        <w:tc>
          <w:tcPr>
            <w:tcW w:w="8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contract asset recorded within prepaid expenses and other current assets on the condensed consolidated balance sheet related to estimated variable consideration was $4.7 million and $3.0 million at March 31, 2022 and December 31, 2021, respectively.</w:t>
      </w:r>
    </w:p>
    <w:p>
      <w:pPr>
        <w:spacing w:after="0" w:line="104"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Company’s assets and liabilities that are measured at fair value on a recurring basis, by level, within the fair value hierarchy are summarized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6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1020" w:type="dxa"/>
            <w:vAlign w:val="bottom"/>
          </w:tcPr>
          <w:p>
            <w:pPr>
              <w:jc w:val="center"/>
              <w:ind w:lef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Active</w:t>
            </w:r>
          </w:p>
        </w:tc>
        <w:tc>
          <w:tcPr>
            <w:tcW w:w="1020" w:type="dxa"/>
            <w:vAlign w:val="bottom"/>
          </w:tcPr>
          <w:p>
            <w:pPr>
              <w:jc w:val="center"/>
              <w:ind w:left="20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5"/>
        </w:trPr>
        <w:tc>
          <w:tcPr>
            <w:tcW w:w="5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Markets</w:t>
            </w:r>
          </w:p>
        </w:tc>
        <w:tc>
          <w:tcPr>
            <w:tcW w:w="1020" w:type="dxa"/>
            <w:vAlign w:val="bottom"/>
          </w:tcPr>
          <w:p>
            <w:pPr>
              <w:jc w:val="center"/>
              <w:ind w:left="22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90"/>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March 31, 2022</w:t>
            </w:r>
          </w:p>
        </w:tc>
        <w:tc>
          <w:tcPr>
            <w:tcW w:w="16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20" w:type="dxa"/>
            <w:vAlign w:val="bottom"/>
          </w:tcPr>
          <w:p>
            <w:pPr>
              <w:jc w:val="cente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37"/>
        </w:trPr>
        <w:tc>
          <w:tcPr>
            <w:tcW w:w="5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 — money market funds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100" w:type="dxa"/>
            <w:vAlign w:val="bottom"/>
          </w:tcPr>
          <w:p>
            <w:pPr>
              <w:spacing w:after="0"/>
              <w:rPr>
                <w:sz w:val="21"/>
                <w:szCs w:val="21"/>
                <w:color w:val="auto"/>
              </w:rPr>
            </w:pPr>
          </w:p>
        </w:tc>
        <w:tc>
          <w:tcPr>
            <w:tcW w:w="1020" w:type="dxa"/>
            <w:vAlign w:val="bottom"/>
          </w:tcPr>
          <w:p>
            <w:pPr>
              <w:jc w:val="right"/>
              <w:ind w:right="84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 of deposit</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7"/>
        </w:trPr>
        <w:tc>
          <w:tcPr>
            <w:tcW w:w="5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157.9</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00" w:type="dxa"/>
            <w:vAlign w:val="bottom"/>
            <w:tcBorders>
              <w:top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88"/>
              </w:rPr>
              <w:t>2.0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159.9</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84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58.6</w:t>
            </w:r>
          </w:p>
        </w:tc>
        <w:tc>
          <w:tcPr>
            <w:tcW w:w="38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0" w:type="dxa"/>
            <w:vAlign w:val="bottom"/>
          </w:tcPr>
          <w:p>
            <w:pPr>
              <w:spacing w:after="0"/>
              <w:rPr>
                <w:sz w:val="1"/>
                <w:szCs w:val="1"/>
                <w:color w:val="auto"/>
              </w:rPr>
            </w:pPr>
          </w:p>
        </w:tc>
      </w:tr>
      <w:tr>
        <w:trPr>
          <w:trHeight w:val="475"/>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60" w:type="dxa"/>
            <w:vAlign w:val="bottom"/>
          </w:tcPr>
          <w:p>
            <w:pPr>
              <w:spacing w:after="0"/>
              <w:rPr>
                <w:sz w:val="24"/>
                <w:szCs w:val="24"/>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1020" w:type="dxa"/>
            <w:vAlign w:val="bottom"/>
          </w:tcPr>
          <w:p>
            <w:pPr>
              <w:jc w:val="center"/>
              <w:ind w:lef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5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Active</w:t>
            </w:r>
          </w:p>
        </w:tc>
        <w:tc>
          <w:tcPr>
            <w:tcW w:w="1020" w:type="dxa"/>
            <w:vAlign w:val="bottom"/>
          </w:tcPr>
          <w:p>
            <w:pPr>
              <w:jc w:val="center"/>
              <w:ind w:left="20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5"/>
        </w:trPr>
        <w:tc>
          <w:tcPr>
            <w:tcW w:w="5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160" w:type="dxa"/>
            <w:vAlign w:val="bottom"/>
          </w:tcPr>
          <w:p>
            <w:pPr>
              <w:spacing w:after="0"/>
              <w:rPr>
                <w:sz w:val="15"/>
                <w:szCs w:val="15"/>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Markets</w:t>
            </w:r>
          </w:p>
        </w:tc>
        <w:tc>
          <w:tcPr>
            <w:tcW w:w="1020" w:type="dxa"/>
            <w:vAlign w:val="bottom"/>
          </w:tcPr>
          <w:p>
            <w:pPr>
              <w:jc w:val="center"/>
              <w:ind w:left="22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90"/>
        </w:trPr>
        <w:tc>
          <w:tcPr>
            <w:tcW w:w="57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20" w:type="dxa"/>
            <w:vAlign w:val="bottom"/>
          </w:tcPr>
          <w:p>
            <w:pPr>
              <w:jc w:val="cente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3"/>
        </w:trPr>
        <w:tc>
          <w:tcPr>
            <w:tcW w:w="5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 — money market funds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100" w:type="dxa"/>
            <w:vAlign w:val="bottom"/>
          </w:tcPr>
          <w:p>
            <w:pPr>
              <w:spacing w:after="0"/>
              <w:rPr>
                <w:sz w:val="21"/>
                <w:szCs w:val="21"/>
                <w:color w:val="auto"/>
              </w:rPr>
            </w:pPr>
          </w:p>
        </w:tc>
        <w:tc>
          <w:tcPr>
            <w:tcW w:w="1020" w:type="dxa"/>
            <w:vAlign w:val="bottom"/>
          </w:tcPr>
          <w:p>
            <w:pPr>
              <w:jc w:val="right"/>
              <w:ind w:right="84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0" w:type="dxa"/>
            <w:vAlign w:val="bottom"/>
          </w:tcPr>
          <w:p>
            <w:pPr>
              <w:spacing w:after="0"/>
              <w:rPr>
                <w:sz w:val="1"/>
                <w:szCs w:val="1"/>
                <w:color w:val="auto"/>
              </w:rPr>
            </w:pPr>
          </w:p>
        </w:tc>
      </w:tr>
      <w:tr>
        <w:trPr>
          <w:trHeight w:val="27"/>
        </w:trPr>
        <w:tc>
          <w:tcPr>
            <w:tcW w:w="57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 of deposit</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7"/>
        </w:trPr>
        <w:tc>
          <w:tcPr>
            <w:tcW w:w="5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164.9</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00" w:type="dxa"/>
            <w:vAlign w:val="bottom"/>
            <w:tcBorders>
              <w:top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88"/>
              </w:rPr>
              <w:t>2.0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166.9</w:t>
            </w:r>
          </w:p>
        </w:tc>
        <w:tc>
          <w:tcPr>
            <w:tcW w:w="0" w:type="dxa"/>
            <w:vAlign w:val="bottom"/>
          </w:tcPr>
          <w:p>
            <w:pPr>
              <w:spacing w:after="0"/>
              <w:rPr>
                <w:sz w:val="1"/>
                <w:szCs w:val="1"/>
                <w:color w:val="auto"/>
              </w:rPr>
            </w:pPr>
          </w:p>
        </w:tc>
      </w:tr>
      <w:tr>
        <w:trPr>
          <w:trHeight w:val="27"/>
        </w:trPr>
        <w:tc>
          <w:tcPr>
            <w:tcW w:w="5700" w:type="dxa"/>
            <w:vAlign w:val="bottom"/>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84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54.7</w:t>
            </w:r>
          </w:p>
        </w:tc>
        <w:tc>
          <w:tcPr>
            <w:tcW w:w="38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0" w:type="dxa"/>
            <w:vAlign w:val="bottom"/>
          </w:tcPr>
          <w:p>
            <w:pPr>
              <w:spacing w:after="0"/>
              <w:rPr>
                <w:sz w:val="1"/>
                <w:szCs w:val="1"/>
                <w:color w:val="auto"/>
              </w:rPr>
            </w:pPr>
          </w:p>
        </w:tc>
      </w:tr>
      <w:tr>
        <w:trPr>
          <w:trHeight w:val="499"/>
        </w:trPr>
        <w:tc>
          <w:tcPr>
            <w:tcW w:w="812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Level 3 liabilities consist entirely of contingent consideration, and the changes in fair value are as follows: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5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60" w:type="dxa"/>
            <w:vAlign w:val="bottom"/>
            <w:gridSpan w:val="6"/>
          </w:tcPr>
          <w:p>
            <w:pPr>
              <w:jc w:val="right"/>
              <w:ind w:right="73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5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5"/>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7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570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3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80" w:type="dxa"/>
            <w:vAlign w:val="bottom"/>
            <w:shd w:val="clear" w:color="auto" w:fill="CCEEFF"/>
          </w:tcPr>
          <w:p>
            <w:pPr>
              <w:spacing w:after="0"/>
              <w:rPr>
                <w:sz w:val="22"/>
                <w:szCs w:val="22"/>
                <w:color w:val="auto"/>
              </w:rPr>
            </w:pP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43"/>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 in fair value, recognized in earnings</w:t>
            </w: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7"/>
        </w:trPr>
        <w:tc>
          <w:tcPr>
            <w:tcW w:w="570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3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80" w:type="dxa"/>
            <w:vAlign w:val="bottom"/>
            <w:shd w:val="clear" w:color="auto" w:fill="CCEEFF"/>
          </w:tcPr>
          <w:p>
            <w:pPr>
              <w:spacing w:after="0"/>
              <w:rPr>
                <w:sz w:val="24"/>
                <w:szCs w:val="24"/>
                <w:color w:val="auto"/>
              </w:rPr>
            </w:pP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Contingent consideration liabilities related to acquisitions are measured at fair value each reporting period using Level 3 unobservable inputs. The fair values of the estimated contingent considerations are determined based on the Company’s evaluation of the probability and amount of earnout that will be achieved based on expected future performance by the acquired entity. The Monte Carlo simulation models simulated the applicable figures over the earnout periods to calculate the estimated earnout payments. These payments were then discounted to present value based on the expected payment dates of the contingent considerations. The weighted-average volatility was 51.0% and the weighted-average discount rate was estimated to be 9.5% at March 31, 2022. The weighted-average volatility was 45.5% and the weighted-average discount rate was estimated to be 9.0% at December 31, 2021.</w:t>
      </w:r>
    </w:p>
    <w:p>
      <w:pPr>
        <w:spacing w:after="0" w:line="129"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Condensed Consolidated Balance Sheet Components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Property, equipment and software, net includes capitalized software development costs, net of accumulated amortization, of $35.2 million and $32.1 million as of March 31, 2022 and December 31, 2021, respectively. The Company capitalized $8.0 million and $5.8 million of software development costs, and recorded amortization expense of $4.9 million and $3.8 million, during the three months ended March 31, 2022 and 2021, respectively.</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Accrued expenses and other current liabilities include operating lease liabilities of $2.9 million and $2.4 million, as of March 31, 2022 and December 31, 2021, respectively.</w:t>
      </w:r>
    </w:p>
    <w:p>
      <w:pPr>
        <w:spacing w:after="0" w:line="10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Other liabilities — noncurrent includes operating lease liabilities of $11.9 million and $12.7 million as of March 31, 2022 and December 31, 2021, respectively.</w:t>
      </w:r>
    </w:p>
    <w:p>
      <w:pPr>
        <w:spacing w:after="0" w:line="104"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71"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Commitments and Other Financial Arrangements </w:t>
      </w:r>
      <w:r>
        <w:rPr>
          <w:rFonts w:ascii="Times New Roman" w:cs="Times New Roman" w:eastAsia="Times New Roman" w:hAnsi="Times New Roman"/>
          <w:sz w:val="18"/>
          <w:szCs w:val="18"/>
          <w:color w:val="auto"/>
        </w:rPr>
        <w:t>— The Company has certain financial commitments and other arrangements including unused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letters of credit and commitments under leases. As of March 31, 2022, there were no material changes to the Company’s commitments and other financial arrangements as disclosed in Note 8 – Commitments and Contingencies in the notes to the consolidated financial statements in the Company’s Annual Report on Form 10-K for the year ended December 31, 2021.</w:t>
      </w:r>
    </w:p>
    <w:p>
      <w:pPr>
        <w:spacing w:after="0" w:line="12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Litigation and Other Legal Matters </w:t>
      </w:r>
      <w:r>
        <w:rPr>
          <w:rFonts w:ascii="Times New Roman" w:cs="Times New Roman" w:eastAsia="Times New Roman" w:hAnsi="Times New Roman"/>
          <w:sz w:val="18"/>
          <w:szCs w:val="18"/>
          <w:color w:val="auto"/>
        </w:rPr>
        <w:t>— The Company is involved from time to time in litigation, claims, and proceedings. Periodically,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evaluates the status of each legal matter and assesses potential financial exposure. If the potential loss from any legal proceeding or litigation is considered probable and the amount can be reasonably estimated, the Company accrues a liability for the estimated loss. Significant judgment is required to determine the probability of a loss and whether the amount of the loss is reasonably estimable. The outcome of any proceeding is not determinable in advance. As a result, the assessment of a potential liability and the amount of accruals recorded are based only on the information available at the time. As additional information becomes available, the Company reassesses the potential liability related to the legal proceeding or litigation, and may revise its estimates. Management is not currently aware of any matters that it expects will have a material effect on the financial position, results of operations, or cash flows of the Company. The Company has not accrued any potential loss as of March 31, 2022 or December 31, 2021.</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171"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Equity Incentive Plans </w:t>
      </w:r>
      <w:r>
        <w:rPr>
          <w:rFonts w:ascii="Times New Roman" w:cs="Times New Roman" w:eastAsia="Times New Roman" w:hAnsi="Times New Roman"/>
          <w:sz w:val="18"/>
          <w:szCs w:val="18"/>
          <w:color w:val="auto"/>
        </w:rPr>
        <w:t>— The 2021 Equity Incentive Plan and the predecessor 2012 Equity Incentive Plan (collectively, the Plans) provide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 of incentive and non-statutory stock options, stock appreciation rights, restricted stock units and restricted stock awards to employees, non-employee directors and consultants of the Company.</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Stock Options </w:t>
      </w:r>
      <w:r>
        <w:rPr>
          <w:rFonts w:ascii="Times New Roman" w:cs="Times New Roman" w:eastAsia="Times New Roman" w:hAnsi="Times New Roman"/>
          <w:sz w:val="18"/>
          <w:szCs w:val="18"/>
          <w:color w:val="auto"/>
        </w:rPr>
        <w:t>— A summary of the Company’s stock option activity for its Plans is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300" w:type="dxa"/>
            <w:vAlign w:val="bottom"/>
          </w:tcPr>
          <w:p>
            <w:pPr>
              <w:spacing w:after="0"/>
              <w:rPr>
                <w:sz w:val="15"/>
                <w:szCs w:val="15"/>
                <w:color w:val="auto"/>
              </w:rPr>
            </w:pPr>
          </w:p>
        </w:tc>
      </w:tr>
      <w:tr>
        <w:trPr>
          <w:trHeight w:val="176"/>
        </w:trPr>
        <w:tc>
          <w:tcPr>
            <w:tcW w:w="5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80" w:type="dxa"/>
            <w:vAlign w:val="bottom"/>
          </w:tcPr>
          <w:p>
            <w:pPr>
              <w:spacing w:after="0"/>
              <w:rPr>
                <w:sz w:val="15"/>
                <w:szCs w:val="15"/>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300" w:type="dxa"/>
            <w:vAlign w:val="bottom"/>
          </w:tcPr>
          <w:p>
            <w:pPr>
              <w:spacing w:after="0"/>
              <w:rPr>
                <w:sz w:val="15"/>
                <w:szCs w:val="15"/>
                <w:color w:val="auto"/>
              </w:rPr>
            </w:pPr>
          </w:p>
        </w:tc>
      </w:tr>
      <w:tr>
        <w:trPr>
          <w:trHeight w:val="162"/>
        </w:trPr>
        <w:tc>
          <w:tcPr>
            <w:tcW w:w="5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4"/>
                <w:szCs w:val="14"/>
                <w:color w:val="auto"/>
              </w:rPr>
            </w:pP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 Intrinsic</w:t>
            </w:r>
          </w:p>
        </w:tc>
      </w:tr>
      <w:tr>
        <w:trPr>
          <w:trHeight w:val="176"/>
        </w:trPr>
        <w:tc>
          <w:tcPr>
            <w:tcW w:w="5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80" w:type="dxa"/>
            <w:vAlign w:val="bottom"/>
          </w:tcPr>
          <w:p>
            <w:pPr>
              <w:spacing w:after="0"/>
              <w:rPr>
                <w:sz w:val="15"/>
                <w:szCs w:val="15"/>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204"/>
        </w:trPr>
        <w:tc>
          <w:tcPr>
            <w:tcW w:w="5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7"/>
                <w:szCs w:val="17"/>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
        </w:trPr>
        <w:tc>
          <w:tcPr>
            <w:tcW w:w="5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6,443</w:t>
            </w:r>
          </w:p>
        </w:tc>
        <w:tc>
          <w:tcPr>
            <w:tcW w:w="140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$8.84</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r>
      <w:tr>
        <w:trPr>
          <w:trHeight w:val="243"/>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4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$12.64</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5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40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Cancelled/forfeited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4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$10.66</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r>
      <w:tr>
        <w:trPr>
          <w:trHeight w:val="288"/>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2022</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6,906</w:t>
            </w:r>
          </w:p>
        </w:tc>
        <w:tc>
          <w:tcPr>
            <w:tcW w:w="140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$9.27</w:t>
            </w:r>
          </w:p>
        </w:tc>
        <w:tc>
          <w:tcPr>
            <w:tcW w:w="10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r>
      <w:tr>
        <w:trPr>
          <w:trHeight w:val="217"/>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Vested and exercisable as of March 31, 2022</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4,197</w:t>
            </w:r>
          </w:p>
        </w:tc>
        <w:tc>
          <w:tcPr>
            <w:tcW w:w="14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$6.34</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r>
    </w:tbl>
    <w:p>
      <w:pPr>
        <w:spacing w:after="0" w:line="26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three months ended March 31, 2022, the weighted-average grant-date fair value of options granted was $6.49 per share, and the aggregate intrinsic value of options exercised was $1.2 million.</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per-share fair value of each stock option was determined on the date of grant using the following weighted-average assumptions and ranges of fair value of common stock:</w:t>
      </w:r>
    </w:p>
    <w:p>
      <w:pPr>
        <w:spacing w:after="0" w:line="155" w:lineRule="exact"/>
        <w:rPr>
          <w:sz w:val="20"/>
          <w:szCs w:val="20"/>
          <w:color w:val="auto"/>
        </w:rPr>
      </w:pPr>
    </w:p>
    <w:p>
      <w:pPr>
        <w:jc w:val="center"/>
        <w:ind w:left="80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left="80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39370</wp:posOffset>
            </wp:positionV>
            <wp:extent cx="203136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031365" cy="8890"/>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00" w:type="dxa"/>
            <w:vAlign w:val="bottom"/>
            <w:gridSpan w:val="3"/>
          </w:tcPr>
          <w:p>
            <w:pPr>
              <w:ind w:left="86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7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43"/>
        </w:trPr>
        <w:tc>
          <w:tcPr>
            <w:tcW w:w="90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51.9 %</w:t>
            </w: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54.6 %</w:t>
            </w:r>
          </w:p>
        </w:tc>
      </w:tr>
      <w:tr>
        <w:trPr>
          <w:trHeight w:val="270"/>
        </w:trPr>
        <w:tc>
          <w:tcPr>
            <w:tcW w:w="9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50"/>
        </w:trPr>
        <w:tc>
          <w:tcPr>
            <w:tcW w:w="90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43"/>
        </w:trPr>
        <w:tc>
          <w:tcPr>
            <w:tcW w:w="9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r>
    </w:tbl>
    <w:p>
      <w:pPr>
        <w:spacing w:after="0" w:line="2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Restricted Stock Units </w:t>
      </w:r>
      <w:r>
        <w:rPr>
          <w:rFonts w:ascii="Times New Roman" w:cs="Times New Roman" w:eastAsia="Times New Roman" w:hAnsi="Times New Roman"/>
          <w:sz w:val="18"/>
          <w:szCs w:val="18"/>
          <w:color w:val="auto"/>
        </w:rPr>
        <w:t>— A summary of the Company’s outstanding nonvested restricted stock units (RSUs) for its Plans is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Number of Units</w:t>
            </w:r>
          </w:p>
        </w:tc>
        <w:tc>
          <w:tcPr>
            <w:tcW w:w="100" w:type="dxa"/>
            <w:vAlign w:val="bottom"/>
          </w:tcPr>
          <w:p>
            <w:pPr>
              <w:spacing w:after="0"/>
              <w:rPr>
                <w:sz w:val="15"/>
                <w:szCs w:val="15"/>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162"/>
        </w:trPr>
        <w:tc>
          <w:tcPr>
            <w:tcW w:w="8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204"/>
        </w:trPr>
        <w:tc>
          <w:tcPr>
            <w:tcW w:w="8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3"/>
        </w:trPr>
        <w:tc>
          <w:tcPr>
            <w:tcW w:w="8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as of December 31, 2021</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3,818</w:t>
            </w:r>
          </w:p>
        </w:tc>
        <w:tc>
          <w:tcPr>
            <w:tcW w:w="30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0" w:type="dxa"/>
            <w:vAlign w:val="bottom"/>
          </w:tcPr>
          <w:p>
            <w:pPr>
              <w:spacing w:after="0"/>
              <w:rPr>
                <w:sz w:val="1"/>
                <w:szCs w:val="1"/>
                <w:color w:val="auto"/>
              </w:rPr>
            </w:pPr>
          </w:p>
        </w:tc>
      </w:tr>
      <w:tr>
        <w:trPr>
          <w:trHeight w:val="270"/>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3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0" w:type="dxa"/>
            <w:vAlign w:val="bottom"/>
          </w:tcPr>
          <w:p>
            <w:pPr>
              <w:spacing w:after="0"/>
              <w:rPr>
                <w:sz w:val="1"/>
                <w:szCs w:val="1"/>
                <w:color w:val="auto"/>
              </w:rPr>
            </w:pPr>
          </w:p>
        </w:tc>
      </w:tr>
      <w:tr>
        <w:trPr>
          <w:trHeight w:val="270"/>
        </w:trPr>
        <w:tc>
          <w:tcPr>
            <w:tcW w:w="8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30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0" w:type="dxa"/>
            <w:vAlign w:val="bottom"/>
          </w:tcPr>
          <w:p>
            <w:pPr>
              <w:spacing w:after="0"/>
              <w:rPr>
                <w:sz w:val="1"/>
                <w:szCs w:val="1"/>
                <w:color w:val="auto"/>
              </w:rPr>
            </w:pPr>
          </w:p>
        </w:tc>
      </w:tr>
      <w:tr>
        <w:trPr>
          <w:trHeight w:val="270"/>
        </w:trPr>
        <w:tc>
          <w:tcPr>
            <w:tcW w:w="8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300" w:type="dxa"/>
            <w:vAlign w:val="bottom"/>
            <w:tcBorders>
              <w:bottom w:val="single" w:sz="8" w:color="CCEEFF"/>
            </w:tcBorders>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0" w:type="dxa"/>
            <w:vAlign w:val="bottom"/>
          </w:tcPr>
          <w:p>
            <w:pPr>
              <w:spacing w:after="0"/>
              <w:rPr>
                <w:sz w:val="1"/>
                <w:szCs w:val="1"/>
                <w:color w:val="auto"/>
              </w:rPr>
            </w:pPr>
          </w:p>
        </w:tc>
      </w:tr>
      <w:tr>
        <w:trPr>
          <w:trHeight w:val="288"/>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as of March 31, 2022</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3,911</w:t>
            </w:r>
          </w:p>
        </w:tc>
        <w:tc>
          <w:tcPr>
            <w:tcW w:w="30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total fair value of shares that vested under RSUs was $2.8 million during the three months ended March 31, 2022.</w:t>
      </w:r>
    </w:p>
    <w:p>
      <w:pPr>
        <w:spacing w:after="0" w:line="167"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Employee Stock Purchase Plan </w:t>
      </w:r>
      <w:r>
        <w:rPr>
          <w:rFonts w:ascii="Times New Roman" w:cs="Times New Roman" w:eastAsia="Times New Roman" w:hAnsi="Times New Roman"/>
          <w:sz w:val="18"/>
          <w:szCs w:val="18"/>
          <w:color w:val="auto"/>
        </w:rPr>
        <w:t>— The Company recognized stock-based compensation related to the employee stock purchase plan (ESPP) of $1.3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during the three months ended March 31, 2022. There were no shares of the Company’s Class A common stock purchased under the ESPP for the three months ended March 31, 2022.</w:t>
      </w: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Stock-Based Compensation </w:t>
      </w:r>
      <w:r>
        <w:rPr>
          <w:rFonts w:ascii="Times New Roman" w:cs="Times New Roman" w:eastAsia="Times New Roman" w:hAnsi="Times New Roman"/>
          <w:sz w:val="18"/>
          <w:szCs w:val="18"/>
          <w:color w:val="auto"/>
        </w:rPr>
        <w:t>— The Company recognized stock-based compensation under the Plans and ESPP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20" w:type="dxa"/>
            <w:vAlign w:val="bottom"/>
            <w:gridSpan w:val="4"/>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8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5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8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6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
        </w:trPr>
        <w:tc>
          <w:tcPr>
            <w:tcW w:w="8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addition, stock-based compensation of $1.4 million and $0.5 million was capitalized related to software development costs during the three months ended March 31, 2022 and 2021, respectively.</w:t>
      </w:r>
    </w:p>
    <w:p>
      <w:pPr>
        <w:spacing w:after="0" w:line="104"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tax provision for interim periods is determined using an estimated annual effective tax rate which is adjusted for discrete items occurring during the periods presented. As of March 31, 2022, the Company has established a valuation allowance against its net U.S. deferred tax assets as the Company believes that it is more likely than not that the Company will not be able to fully realize such net deferred tax assets. The Company’s judgment regarding the likelihood of realization of these deferred tax assets could change in future periods, which could result in a material impact in the Company’s income tax provision in the period of change.</w:t>
      </w:r>
    </w:p>
    <w:p>
      <w:pPr>
        <w:spacing w:after="0" w:line="125"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Basic and Diluted Share</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computes earnings per share (EPS) in conformity with the two-class method required for participating securities. The two-class method is an earnings allocation method that determines net income (loss) per share for each class of common stock and participating securities according to dividends declared (or accumulated) and participation rights in undistributed earnings or losses. We consider early exercised share options to be participating securities. There were no early exercised share options for the three months ended March 31, 2022, and the impact of early exercised share options on basic and diluted EPS was immaterial for the three months ended March 31, 2021.</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the basic and diluted per share computations for net loss attributable to common stockholders: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40" w:type="dxa"/>
            <w:vAlign w:val="bottom"/>
            <w:gridSpan w:val="4"/>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8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8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2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89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8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 — basic and diluted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center"/>
              <w:ind w:left="278"/>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center"/>
              <w:ind w:left="194"/>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7"/>
        </w:trPr>
        <w:tc>
          <w:tcPr>
            <w:tcW w:w="8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shares of common stock — basic and diluted</w:t>
            </w:r>
          </w:p>
        </w:tc>
        <w:tc>
          <w:tcPr>
            <w:tcW w:w="260" w:type="dxa"/>
            <w:vAlign w:val="bottom"/>
          </w:tcPr>
          <w:p>
            <w:pPr>
              <w:spacing w:after="0"/>
              <w:rPr>
                <w:sz w:val="21"/>
                <w:szCs w:val="21"/>
                <w:color w:val="auto"/>
              </w:rPr>
            </w:pPr>
          </w:p>
        </w:tc>
        <w:tc>
          <w:tcPr>
            <w:tcW w:w="840" w:type="dxa"/>
            <w:vAlign w:val="bottom"/>
          </w:tcPr>
          <w:p>
            <w:pPr>
              <w:jc w:val="center"/>
              <w:ind w:left="298"/>
              <w:spacing w:after="0"/>
              <w:rPr>
                <w:sz w:val="20"/>
                <w:szCs w:val="20"/>
                <w:color w:val="auto"/>
              </w:rPr>
            </w:pPr>
            <w:r>
              <w:rPr>
                <w:rFonts w:ascii="Times New Roman" w:cs="Times New Roman" w:eastAsia="Times New Roman" w:hAnsi="Times New Roman"/>
                <w:sz w:val="18"/>
                <w:szCs w:val="18"/>
                <w:color w:val="auto"/>
                <w:w w:val="95"/>
              </w:rPr>
              <w:t>66.9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jc w:val="center"/>
              <w:ind w:left="214"/>
              <w:spacing w:after="0"/>
              <w:rPr>
                <w:sz w:val="20"/>
                <w:szCs w:val="20"/>
                <w:color w:val="auto"/>
              </w:rPr>
            </w:pPr>
            <w:r>
              <w:rPr>
                <w:rFonts w:ascii="Times New Roman" w:cs="Times New Roman" w:eastAsia="Times New Roman" w:hAnsi="Times New Roman"/>
                <w:sz w:val="18"/>
                <w:szCs w:val="18"/>
                <w:color w:val="auto"/>
                <w:w w:val="95"/>
              </w:rPr>
              <w:t>48.5</w:t>
            </w:r>
          </w:p>
        </w:tc>
        <w:tc>
          <w:tcPr>
            <w:tcW w:w="0" w:type="dxa"/>
            <w:vAlign w:val="bottom"/>
          </w:tcPr>
          <w:p>
            <w:pPr>
              <w:spacing w:after="0"/>
              <w:rPr>
                <w:sz w:val="1"/>
                <w:szCs w:val="1"/>
                <w:color w:val="auto"/>
              </w:rPr>
            </w:pPr>
          </w:p>
        </w:tc>
      </w:tr>
      <w:tr>
        <w:trPr>
          <w:trHeight w:val="27"/>
        </w:trPr>
        <w:tc>
          <w:tcPr>
            <w:tcW w:w="8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per share attributable to common stockholders:</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center"/>
              <w:ind w:left="278"/>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center"/>
              <w:ind w:left="194"/>
              <w:spacing w:after="0"/>
              <w:rPr>
                <w:sz w:val="20"/>
                <w:szCs w:val="20"/>
                <w:color w:val="auto"/>
              </w:rPr>
            </w:pPr>
            <w:r>
              <w:rPr>
                <w:rFonts w:ascii="Times New Roman" w:cs="Times New Roman" w:eastAsia="Times New Roman" w:hAnsi="Times New Roman"/>
                <w:sz w:val="18"/>
                <w:szCs w:val="18"/>
                <w:color w:val="auto"/>
              </w:rPr>
              <w:t>(0.27)</w:t>
            </w:r>
          </w:p>
        </w:tc>
        <w:tc>
          <w:tcPr>
            <w:tcW w:w="0" w:type="dxa"/>
            <w:vAlign w:val="bottom"/>
          </w:tcPr>
          <w:p>
            <w:pPr>
              <w:spacing w:after="0"/>
              <w:rPr>
                <w:sz w:val="1"/>
                <w:szCs w:val="1"/>
                <w:color w:val="auto"/>
              </w:rPr>
            </w:pPr>
          </w:p>
        </w:tc>
      </w:tr>
      <w:tr>
        <w:trPr>
          <w:trHeight w:val="27"/>
        </w:trPr>
        <w:tc>
          <w:tcPr>
            <w:tcW w:w="8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center"/>
              <w:ind w:left="278"/>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center"/>
              <w:ind w:left="194"/>
              <w:spacing w:after="0"/>
              <w:rPr>
                <w:sz w:val="20"/>
                <w:szCs w:val="20"/>
                <w:color w:val="auto"/>
              </w:rPr>
            </w:pPr>
            <w:r>
              <w:rPr>
                <w:rFonts w:ascii="Times New Roman" w:cs="Times New Roman" w:eastAsia="Times New Roman" w:hAnsi="Times New Roman"/>
                <w:sz w:val="18"/>
                <w:szCs w:val="18"/>
                <w:color w:val="auto"/>
              </w:rPr>
              <w:t>(0.27)</w:t>
            </w:r>
          </w:p>
        </w:tc>
        <w:tc>
          <w:tcPr>
            <w:tcW w:w="0" w:type="dxa"/>
            <w:vAlign w:val="bottom"/>
          </w:tcPr>
          <w:p>
            <w:pPr>
              <w:spacing w:after="0"/>
              <w:rPr>
                <w:sz w:val="1"/>
                <w:szCs w:val="1"/>
                <w:color w:val="auto"/>
              </w:rPr>
            </w:pPr>
          </w:p>
        </w:tc>
      </w:tr>
      <w:tr>
        <w:trPr>
          <w:trHeight w:val="27"/>
        </w:trPr>
        <w:tc>
          <w:tcPr>
            <w:tcW w:w="8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common stock equivalents were excluded from the computation of diluted loss per share for the periods presented because including them would have been antidilutive: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8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3"/>
          </w:tcPr>
          <w:p>
            <w:pPr>
              <w:jc w:val="center"/>
              <w:ind w:left="67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940" w:type="dxa"/>
            <w:vAlign w:val="bottom"/>
            <w:gridSpan w:val="2"/>
            <w:vMerge w:val="continue"/>
          </w:tcPr>
          <w:p>
            <w:pPr>
              <w:spacing w:after="0"/>
              <w:rPr>
                <w:sz w:val="16"/>
                <w:szCs w:val="16"/>
                <w:color w:val="auto"/>
              </w:rPr>
            </w:pPr>
          </w:p>
        </w:tc>
        <w:tc>
          <w:tcPr>
            <w:tcW w:w="110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8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8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subject to outstanding stock options and restricted stock units</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43"/>
        </w:trPr>
        <w:tc>
          <w:tcPr>
            <w:tcW w:w="8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ESPP</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A redeemable convertible preferred stock</w:t>
            </w:r>
          </w:p>
        </w:tc>
        <w:tc>
          <w:tcPr>
            <w:tcW w:w="154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7"/>
        </w:trPr>
        <w:tc>
          <w:tcPr>
            <w:tcW w:w="8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3"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condensed consolidated financial statements and related notes included in Item 1 of Part I of this Quarterly Report on Form 10-Q, and with our audited consolidated financial statements and related notes included in our Annual Report on Form 10-K for the fiscal year ended December 31, 2021.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mission is to provide clarity for all of life’s financial decisions.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vision is a world where everyone makes financial decisions with confidence.</w:t>
      </w:r>
    </w:p>
    <w:p>
      <w:pPr>
        <w:spacing w:after="0" w:line="17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a personal finance website and app, NerdWallet provides consumers with trustworthy and knowledgeable financial information so they can make smart money moves. From finding the best credit card to buying a house, NerdWallet is there to help consumers make financial decisions with confidence. Consumers have free access to our expert content and comparison shopping marketplaces, plus a data-driven app, which helps them stay on top of their finances and save time and money, giving them the freedom to do more. NerdWallet is available for consumers in the U.S., United Kingdom (UK) and Canada.</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Metric and Non-GAAP Financial Measure</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collect, review and analyze operating and financial data of our business to assess our ongoing performance and compare our results to prior period results. In addition to revenue, net income and other results under generally accepted accounting principles (GAAP), the following sets forth the key operating metric we use to evaluate our business.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Monthly Unique Users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define a Monthly Unique User (MUU) as a unique user with at least one session in a given month as determined by a unique device identifier. We measure MUUs during a time period longer than one month by averaging the MUUs of each month within that period. We track MUUs to frame the number of users who may transact with the financial services partners on our platform during a given period. We had 22 million average MUUs for the three months ended March 31, 2022, which was down 3% compared to the three months ended March 31, 2021. We continue to see strong engagement in many of our verticals such as small and mid-size business (SMB) products and credit cards, but that was more than offset by abnormally high user engagement in our investing vertical in the prior-year period. While we expect MUUs to grow over time, the metric may fluctuate from period to period based on economic conditions, trends in consumer behavior, and our strategic marketing decisions.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use Adjusted EBITDA in conjunction with GAAP measures as part of our overall assessment of our performance, including the preparation of our annual operating budget and quarterly forecasts, to evaluate the effectiveness of our business strategies, and to communicate with our Board of Directors concerning our financial performance.</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define Adjusted EBITDA as net income (loss) from continuing operations adjusted to exclude depreciation and amortization, interest expense, net, provision (benefit) for income taxes, and further exclude (1) loss (gain) on impairment and on disposal of assets, (2) remeasurement of the embedded derivative in our previously outstanding long-term debt, (3) change in fair value of contingent consideration related to earnouts, (4) deferred compensation related to earnouts, (5) stock-based compensation, and (6) acquisition-related costs.</w:t>
      </w:r>
    </w:p>
    <w:p>
      <w:pPr>
        <w:spacing w:after="0" w:line="1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above items are excluded from our Adjusted EBITDA measure because these items are non-cash in nature, or because the amount is not driven by core operating results and renders comparisons with prior periods less meaningful.</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believe that Adjusted EBITDA provides useful information to investors and others in understanding and evaluating our operating results and in comparing operating results across periods. Moreover, we have included Adjusted EBITDA in this Quarterly Report on Form 10-Q because it is a key measurement used by our management internally to make operating decisions, including those related to analyzing operating expenses, evaluating performance, and performing strategic planning and annual budgeting. However, the use of this non-GAAP measure has certain limitations because it does not reflect all items of income and expense that affect our operations. Adjusted EBITDA has limitations as a financial measure, should be considered as supplemental in nature, and is not meant as a substitute for the related financial information prepared in accordance with GAAP. These limitations include the following:</w:t>
      </w:r>
    </w:p>
    <w:p>
      <w:pPr>
        <w:spacing w:after="0" w:line="135" w:lineRule="exact"/>
        <w:rPr>
          <w:sz w:val="20"/>
          <w:szCs w:val="20"/>
          <w:color w:val="auto"/>
        </w:rPr>
      </w:pPr>
    </w:p>
    <w:p>
      <w:pPr>
        <w:jc w:val="both"/>
        <w:ind w:left="66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interest income (expense) and other gains (losses), net, which include unrealized and realized gains and losses on foreign currency exchange and the embedded derivative in our previously outstanding long-term debt, as well as certain nonrecurring gains (losses);</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excludes certain recurring, non-cash charges, such as depreciation of property and equipment and amortization of intangible assets, and although these are non-cash charges, the assets being depreciated and amortized may have to be replaced in the future, and Adjusted EBITDA does not reflect all cash requirements for such replacements or for new capital expenditure requirements;</w:t>
      </w:r>
    </w:p>
    <w:p>
      <w:pPr>
        <w:spacing w:after="0" w:line="12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excludes stock-based compensation, which has been, and will continue to be for the foreseeable future, a significant recurring expense in our business and an important part of our compensation strategy; and</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include the impact of impairment of assets previously acquired, acquisition-related transaction expenses, contingent consideration fair value adjustments related to earnouts, and deferred compensation related to earnouts.</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Adjusted EBITDA as we define it may not be comparable to similarly titled measures used by other companies. Because of these limitations, you should consider Adjusted EBITDA alongside other financial performance measures, including net income (loss) and our other GAAP results.</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See “Management’s Discussion and Analysis of Financial Condition and Results of Operations — Results of Operations — Non-GAAP Financial Measure” for a reconciliation of Adjusted EBITDA to net income (loss), the most directly comparable financial measure calculated in accordance with GAAP.</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set forth our results of operations for the periods presented. The following discussion should be read in conjunction with the condensed consolidated financial statements and related notes included elsewhere in this Quarterly Report on Form 10-Q.</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20" w:type="dxa"/>
            <w:vAlign w:val="bottom"/>
            <w:gridSpan w:val="4"/>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8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5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8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0" w:type="dxa"/>
            <w:vAlign w:val="bottom"/>
          </w:tcPr>
          <w:p>
            <w:pPr>
              <w:spacing w:after="0"/>
              <w:rPr>
                <w:sz w:val="1"/>
                <w:szCs w:val="1"/>
                <w:color w:val="auto"/>
              </w:rPr>
            </w:pPr>
          </w:p>
        </w:tc>
      </w:tr>
      <w:tr>
        <w:trPr>
          <w:trHeight w:val="22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70"/>
        </w:trPr>
        <w:tc>
          <w:tcPr>
            <w:tcW w:w="8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70"/>
        </w:trPr>
        <w:tc>
          <w:tcPr>
            <w:tcW w:w="85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0" w:type="dxa"/>
            <w:vAlign w:val="bottom"/>
          </w:tcPr>
          <w:p>
            <w:pPr>
              <w:spacing w:after="0"/>
              <w:rPr>
                <w:sz w:val="1"/>
                <w:szCs w:val="1"/>
                <w:color w:val="auto"/>
              </w:rPr>
            </w:pPr>
          </w:p>
        </w:tc>
      </w:tr>
      <w:tr>
        <w:trPr>
          <w:trHeight w:val="270"/>
        </w:trPr>
        <w:tc>
          <w:tcPr>
            <w:tcW w:w="8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70"/>
        </w:trPr>
        <w:tc>
          <w:tcPr>
            <w:tcW w:w="85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fair value of contingent consideration related to earnouts</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37"/>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0" w:type="dxa"/>
            <w:vAlign w:val="bottom"/>
          </w:tcPr>
          <w:p>
            <w:pPr>
              <w:spacing w:after="0"/>
              <w:rPr>
                <w:sz w:val="1"/>
                <w:szCs w:val="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2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 losses, net</w:t>
            </w:r>
          </w:p>
        </w:tc>
        <w:tc>
          <w:tcPr>
            <w:tcW w:w="3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expense</w:t>
            </w: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37"/>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6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0"/>
        </w:trPr>
        <w:tc>
          <w:tcPr>
            <w:tcW w:w="8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w:t>
            </w: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7"/>
        </w:trPr>
        <w:tc>
          <w:tcPr>
            <w:tcW w:w="84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stock-based compensation as follows:</w:t>
      </w:r>
    </w:p>
    <w:p>
      <w:pPr>
        <w:spacing w:after="0" w:line="199" w:lineRule="exact"/>
        <w:rPr>
          <w:sz w:val="20"/>
          <w:szCs w:val="20"/>
          <w:color w:val="auto"/>
        </w:rPr>
      </w:pPr>
    </w:p>
    <w:tbl>
      <w:tblPr>
        <w:tblLayout w:type="fixed"/>
        <w:tblInd w:w="340" w:type="dxa"/>
        <w:tblCellMar>
          <w:top w:w="0" w:type="dxa"/>
          <w:left w:w="0" w:type="dxa"/>
          <w:bottom w:w="0" w:type="dxa"/>
          <w:right w:w="0" w:type="dxa"/>
        </w:tblCellMar>
      </w:tblPr>
      <w:tr>
        <w:trPr>
          <w:trHeight w:val="176"/>
        </w:trPr>
        <w:tc>
          <w:tcPr>
            <w:tcW w:w="7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2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7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8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7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7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193"/>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300" w:type="dxa"/>
            <w:vAlign w:val="bottom"/>
          </w:tcPr>
          <w:p>
            <w:pPr>
              <w:spacing w:after="0"/>
              <w:rPr>
                <w:sz w:val="16"/>
                <w:szCs w:val="16"/>
                <w:color w:val="auto"/>
              </w:rPr>
            </w:pPr>
          </w:p>
        </w:tc>
        <w:tc>
          <w:tcPr>
            <w:tcW w:w="96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37"/>
        </w:trPr>
        <w:tc>
          <w:tcPr>
            <w:tcW w:w="78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7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218"/>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stock-based compensation</w:t>
            </w: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25"/>
        </w:trPr>
        <w:tc>
          <w:tcPr>
            <w:tcW w:w="78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components of our condensed consolidated statements of operations as a percentage of revenue:</w:t>
      </w:r>
    </w:p>
    <w:p>
      <w:pPr>
        <w:spacing w:after="0" w:line="21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33020</wp:posOffset>
            </wp:positionV>
            <wp:extent cx="194564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80" w:type="dxa"/>
            <w:vAlign w:val="bottom"/>
            <w:gridSpan w:val="3"/>
          </w:tcPr>
          <w:p>
            <w:pPr>
              <w:ind w:left="878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8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244"/>
        </w:trPr>
        <w:tc>
          <w:tcPr>
            <w:tcW w:w="90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43"/>
        </w:trPr>
        <w:tc>
          <w:tcPr>
            <w:tcW w:w="9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08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revenue</w:t>
            </w:r>
          </w:p>
        </w:tc>
        <w:tc>
          <w:tcPr>
            <w:tcW w:w="5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7</w:t>
            </w:r>
          </w:p>
        </w:tc>
      </w:tr>
      <w:tr>
        <w:trPr>
          <w:trHeight w:val="243"/>
        </w:trPr>
        <w:tc>
          <w:tcPr>
            <w:tcW w:w="90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14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08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5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76</w:t>
            </w:r>
          </w:p>
        </w:tc>
      </w:tr>
      <w:tr>
        <w:trPr>
          <w:trHeight w:val="243"/>
        </w:trPr>
        <w:tc>
          <w:tcPr>
            <w:tcW w:w="90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14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81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fair value of contingent consideration related to earnouts</w:t>
            </w: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8</w:t>
            </w:r>
          </w:p>
        </w:tc>
      </w:tr>
      <w:tr>
        <w:trPr>
          <w:trHeight w:val="237"/>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9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115</w:t>
            </w:r>
          </w:p>
        </w:tc>
      </w:tr>
      <w:tr>
        <w:trPr>
          <w:trHeight w:val="27"/>
        </w:trPr>
        <w:tc>
          <w:tcPr>
            <w:tcW w:w="8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3"/>
        </w:trPr>
        <w:tc>
          <w:tcPr>
            <w:tcW w:w="90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5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9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r>
      <w:tr>
        <w:trPr>
          <w:trHeight w:val="27"/>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08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68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90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Other losses, net</w:t>
            </w:r>
          </w:p>
        </w:tc>
        <w:tc>
          <w:tcPr>
            <w:tcW w:w="6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3"/>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expense</w:t>
            </w:r>
          </w:p>
        </w:tc>
        <w:tc>
          <w:tcPr>
            <w:tcW w:w="9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9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w:t>
            </w:r>
          </w:p>
        </w:tc>
      </w:tr>
      <w:tr>
        <w:trPr>
          <w:trHeight w:val="26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1"/>
        </w:trPr>
        <w:tc>
          <w:tcPr>
            <w:tcW w:w="8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Net loss decreased $2.4 million, or 19%, for the three months ended March 31, 2022 compared to the three months ended March 31, 2021. The decrease was attributable to a $39.1 million increase in revenue, partially offset by a $35.0 million increase in expenses, primarily driven by increases of $27.5 million in sales and marketing expense and $5.2 million in research and development, as we continued to invest in our business. Additionally, we had an income tax provision of $1.2 million for the three months ended March 31, 2022, as compared to an income tax benefit of $0.7 million for the three months ended March 31, 2021.</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6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5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40" w:type="dxa"/>
            <w:vAlign w:val="bottom"/>
            <w:vMerge w:val="restart"/>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6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cards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0" w:type="dxa"/>
            <w:vAlign w:val="bottom"/>
          </w:tcPr>
          <w:p>
            <w:pPr>
              <w:spacing w:after="0"/>
              <w:rPr>
                <w:sz w:val="1"/>
                <w:szCs w:val="1"/>
                <w:color w:val="auto"/>
              </w:rPr>
            </w:pPr>
          </w:p>
        </w:tc>
      </w:tr>
      <w:tr>
        <w:trPr>
          <w:trHeight w:val="243"/>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Loans</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verticals</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0" w:type="dxa"/>
            <w:vAlign w:val="bottom"/>
          </w:tcPr>
          <w:p>
            <w:pPr>
              <w:spacing w:after="0"/>
              <w:rPr>
                <w:sz w:val="1"/>
                <w:szCs w:val="1"/>
                <w:color w:val="auto"/>
              </w:rPr>
            </w:pPr>
          </w:p>
        </w:tc>
      </w:tr>
      <w:tr>
        <w:trPr>
          <w:trHeight w:val="263"/>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Pr>
          <w:p>
            <w:pPr>
              <w:spacing w:after="0"/>
              <w:rPr>
                <w:sz w:val="22"/>
                <w:szCs w:val="22"/>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Revenue increased $39.1 million, or 43%, for the three months ended March 31, 2022 compared to the three months ended March 31, 2021, with revenue increases across all product categories.</w:t>
      </w:r>
    </w:p>
    <w:p>
      <w:pPr>
        <w:spacing w:after="0" w:line="10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Credit cards revenue increased $22.3 million, or 97%, for the three months ended March 31, 2022, which we attribute to the overall macroeconomic recovery, the high-intent nature of our audience, and our deep alignment with partners to deliver quality matches.</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Loans revenue increased $2.0 million, or 6%, for the three months ended March 31, 2022, primarily driven by a 78% increase in personal loans revenue reflecting strong consumer demand and more optimized user experience, as well as a 24% increase in student loans revenue despite continued federal government forbearance, partially offset by a 15% decrease in mortgages revenue due to the increasing interest rate environment.</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verticals revenue increased $14.8 million, or 43%, for the three months ended March 31, 2022, primarily attributable to a 164% increase in SMB products revenue. The increase also included a 56% increase in banking revenue primarily due to the rising interest rate environment, partially offset by a 24% decrease in investing revenue primarily due to abnormally high user engagement in our investing vertical in the prior-year period.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8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8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5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43"/>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43"/>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contingent consideration related to earnouts</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0" w:type="dxa"/>
            <w:vAlign w:val="bottom"/>
          </w:tcPr>
          <w:p>
            <w:pPr>
              <w:spacing w:after="0"/>
              <w:rPr>
                <w:sz w:val="1"/>
                <w:szCs w:val="1"/>
                <w:color w:val="auto"/>
              </w:rPr>
            </w:pPr>
          </w:p>
        </w:tc>
      </w:tr>
      <w:tr>
        <w:trPr>
          <w:trHeight w:val="263"/>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1"/>
        </w:trPr>
        <w:tc>
          <w:tcPr>
            <w:tcW w:w="5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Cost of revenue increased $1.2 million, or 19%, for the three months ended March 31, 2022 compared to the three months ended March 31, 2021, attributable to a $1.2 million increase in amortization expense related to capitalized software development costs.</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17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increased $5.2 million, or 43%, for the three months ended March 31, 2022 compared to the three months ended March 31, 2021, primarily attributable to increases of $4.6 million in personnel-related costs for our engineering, data, and product management personnel and contractors to support our continued growth, and $0.5 million in software and technology costs related to our platform.</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Sales and marketing expense</w:t>
      </w:r>
    </w:p>
    <w:p>
      <w:pPr>
        <w:spacing w:after="0" w:line="17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2022 and 2021, our total sales and marketing expense was comprised of approximately 42% and 45% for brand marketing, respectively, and 35% and 30% for performance marketing, respectively, with the remainder for organic and other marketing expenses. We are able to adjust our marketing spend to reflect changes in external factors and consumer behavior.</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Sales and marketing expenses increased $27.5 million, or 40%, for the three months ended March 31, 2022 compared to the three months ended March 31, 2021, primarily attributable to increases of $13.2 million in performance marketing expenses and $9.5 million in brand marketing expenses, as well as higher organic and other marketing expenses, including a $4.4 million increase in personnel-related costs due to our efforts to grow and increase our user base.</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17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$4.2 million, or 46%, for the three months ended March 31, 2022 compared to the three months ended March 31, 2021, primarily attributable to increases of $1.9 million in personnel-related costs mainly due to higher stock-based compensation and increased headcount, $1.1 million in director and officer liability insurance costs, and $0.7 million in professional and consulting services fees.</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Change in fair value of contingent consideration related to earnouts</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change in fair value of contingent consideration relates to our acquisitions of Fundera, Inc. (Fundera) and Know Your Money (KYM) in 2020. The fair value of the estimated contingent considerations is subject to remeasurement at each reporting date until the payments are made. See Note 3 – Fair Value Measurements in the notes to our condensed consolidated financial statements for further discussion regarding how we estimated the fair value of these contingent considerations.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8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0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56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0" w:type="dxa"/>
            <w:vAlign w:val="bottom"/>
          </w:tcPr>
          <w:p>
            <w:pPr>
              <w:spacing w:after="0"/>
              <w:rPr>
                <w:sz w:val="1"/>
                <w:szCs w:val="1"/>
                <w:color w:val="auto"/>
              </w:rPr>
            </w:pPr>
          </w:p>
        </w:tc>
      </w:tr>
      <w:tr>
        <w:trPr>
          <w:trHeight w:val="243"/>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losses, net</w:t>
            </w:r>
          </w:p>
        </w:tc>
        <w:tc>
          <w:tcPr>
            <w:tcW w:w="320" w:type="dxa"/>
            <w:vAlign w:val="bottom"/>
          </w:tcPr>
          <w:p>
            <w:pPr>
              <w:spacing w:after="0"/>
              <w:rPr>
                <w:sz w:val="21"/>
                <w:szCs w:val="21"/>
                <w:color w:val="auto"/>
              </w:rPr>
            </w:pPr>
          </w:p>
        </w:tc>
        <w:tc>
          <w:tcPr>
            <w:tcW w:w="10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expense, net decreased $0.2 million, or 54%, for the three months ended March 31, 2022 compared to the three months ended March 31, 2021, due to lower interest expense and a prior-year loss related to the embedded derivative in our previously outstanding long-term debt.</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 (benefit)</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had an income tax provision of $1.2 million for the three months ended March 31, 2022, as compared to an income tax benefit of $0.7 million for the three months ended March 31, 2021. Our effective tax rate was (13.5%) and 4.8% for three months ended March 31, 2022 and 2021, respectively. Our effective tax rate for the three months ended March 31, 2022 was lower than the U.S. federal statutory income tax rate of 21% primarily due to higher capitalization of research and development expenses under new tax regulations effective in 2022 and a full valuation allowance recorded against our net U.S. deferred tax assets. Our effective tax rate for the three months ended March 31, 2021 was lower than the U.S. federal statutory income tax rate of 21% primarily due to excess tax benefits related to stock-based compensation, and research and development credits, partially offset by non-deductible contingent consideration related to earnouts.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Adjusted EBITDA as we define it may not be comparable to similarly titled measures used by other companies. Because of these limitations, you should consider Adjusted EBITDA alongside other financial performance measures, including net income (loss) and our other GAAP results.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compensate for these limitations by reconciling Adjusted EBITDA to net loss, the most comparable GAAP financial measure,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20" w:type="dxa"/>
            <w:vAlign w:val="bottom"/>
            <w:gridSpan w:val="4"/>
          </w:tcPr>
          <w:p>
            <w:pPr>
              <w:jc w:val="right"/>
              <w:ind w:right="79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8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8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81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8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4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21"/>
                <w:szCs w:val="21"/>
                <w:color w:val="auto"/>
              </w:rPr>
            </w:pPr>
          </w:p>
        </w:tc>
        <w:tc>
          <w:tcPr>
            <w:tcW w:w="114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4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340" w:type="dxa"/>
            <w:vAlign w:val="bottom"/>
          </w:tcPr>
          <w:p>
            <w:pPr>
              <w:spacing w:after="0"/>
              <w:rPr>
                <w:sz w:val="21"/>
                <w:szCs w:val="21"/>
                <w:color w:val="auto"/>
              </w:rPr>
            </w:pPr>
          </w:p>
        </w:tc>
        <w:tc>
          <w:tcPr>
            <w:tcW w:w="114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losses, net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4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on impairment and on disposal of assets</w:t>
            </w:r>
          </w:p>
        </w:tc>
        <w:tc>
          <w:tcPr>
            <w:tcW w:w="340" w:type="dxa"/>
            <w:vAlign w:val="bottom"/>
          </w:tcPr>
          <w:p>
            <w:pPr>
              <w:spacing w:after="0"/>
              <w:rPr>
                <w:sz w:val="21"/>
                <w:szCs w:val="21"/>
                <w:color w:val="auto"/>
              </w:rPr>
            </w:pP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0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contingent consideration related to earnouts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4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compensation related to earnouts</w:t>
            </w:r>
          </w:p>
        </w:tc>
        <w:tc>
          <w:tcPr>
            <w:tcW w:w="340" w:type="dxa"/>
            <w:vAlign w:val="bottom"/>
          </w:tcPr>
          <w:p>
            <w:pPr>
              <w:spacing w:after="0"/>
              <w:rPr>
                <w:sz w:val="21"/>
                <w:szCs w:val="21"/>
                <w:color w:val="auto"/>
              </w:rPr>
            </w:pPr>
          </w:p>
        </w:tc>
        <w:tc>
          <w:tcPr>
            <w:tcW w:w="114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4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Acquisition-related expense</w:t>
            </w:r>
          </w:p>
        </w:tc>
        <w:tc>
          <w:tcPr>
            <w:tcW w:w="340" w:type="dxa"/>
            <w:vAlign w:val="bottom"/>
          </w:tcPr>
          <w:p>
            <w:pPr>
              <w:spacing w:after="0"/>
              <w:rPr>
                <w:sz w:val="21"/>
                <w:szCs w:val="21"/>
                <w:color w:val="auto"/>
              </w:rPr>
            </w:pP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0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8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56"/>
        </w:trPr>
        <w:tc>
          <w:tcPr>
            <w:tcW w:w="8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margin</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312"/>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EBITDA margin</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bl>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w:t>
      </w:r>
    </w:p>
    <w:p>
      <w:pPr>
        <w:spacing w:after="0" w:line="69" w:lineRule="exact"/>
        <w:rPr>
          <w:sz w:val="20"/>
          <w:szCs w:val="20"/>
          <w:color w:val="auto"/>
        </w:rPr>
      </w:pPr>
    </w:p>
    <w:p>
      <w:pPr>
        <w:ind w:left="320" w:hanging="312"/>
        <w:spacing w:after="0"/>
        <w:tabs>
          <w:tab w:leader="none" w:pos="3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Adjusted EBITDA as a percentage of revenue.</w:t>
      </w:r>
    </w:p>
    <w:p>
      <w:pPr>
        <w:spacing w:after="0" w:line="181"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See “Management’s Discussion and Analysis of Financial Condition and Results of Operations — Results of Operations” for a discussion of the decrease in net loss for the three months ended March 31, 2022 compared to the three months ended March 31, 2021.</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Adjusted EBITDA increased $5.7 million, or 179%, for the three months ended March 31, 2022 compared to the three months ended March 31, 2021. The increase was attributable to a $39.1 million increase in revenue, partially offset by higher expenses, primarily driven by a $27.5 million increase in sales and marketing expense, as we continued to invest in our business.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principal sources of liquidity to meet our business requirements and plans, both in the short-term (i.e., the next twelve months from March 31, 2022) and long-term (i.e., beyond the next twelve months), have historically been cash generated from operations and, more recently, sales of our common stock, and borrowings under our credit facilities. Our primary liquidity needs are related to the funding of general business requirements, including working capital requirements, research and development, and capital expenditures, as well as other liquidity requirements including, but not limited to, business combinations.</w:t>
      </w:r>
    </w:p>
    <w:p>
      <w:pPr>
        <w:spacing w:after="0" w:line="129" w:lineRule="exact"/>
        <w:rPr>
          <w:sz w:val="20"/>
          <w:szCs w:val="20"/>
          <w:color w:val="auto"/>
        </w:rPr>
      </w:pPr>
    </w:p>
    <w:p>
      <w:pPr>
        <w:ind w:left="340" w:right="1360"/>
        <w:spacing w:after="0" w:line="438" w:lineRule="auto"/>
        <w:rPr>
          <w:sz w:val="20"/>
          <w:szCs w:val="20"/>
          <w:color w:val="auto"/>
        </w:rPr>
      </w:pPr>
      <w:r>
        <w:rPr>
          <w:rFonts w:ascii="Times New Roman" w:cs="Times New Roman" w:eastAsia="Times New Roman" w:hAnsi="Times New Roman"/>
          <w:sz w:val="18"/>
          <w:szCs w:val="18"/>
          <w:color w:val="auto"/>
        </w:rPr>
        <w:t xml:space="preserve">As of March 31, 2022 and December 31, 2021, we had cash and cash equivalents of $161.6 million and $167.8 million, respectively. </w:t>
      </w:r>
      <w:r>
        <w:rPr>
          <w:rFonts w:ascii="Times New Roman" w:cs="Times New Roman" w:eastAsia="Times New Roman" w:hAnsi="Times New Roman"/>
          <w:sz w:val="18"/>
          <w:szCs w:val="18"/>
          <w:b w:val="1"/>
          <w:bCs w:val="1"/>
          <w:i w:val="1"/>
          <w:iCs w:val="1"/>
          <w:color w:val="auto"/>
        </w:rPr>
        <w:t>Known Contractual and Other Obligations</w:t>
      </w:r>
    </w:p>
    <w:p>
      <w:pPr>
        <w:spacing w:after="0" w:line="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 description of contractual commitments as of March 31, 2022 is included in Note 5 – Commitments and Contingencies in the notes to our condensed consolidated financial statements.</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More broadly, we also have purchase obligations under contractual arrangements with vendors and service providers, including for certain web-hosting and cloud computing services, which do not qualify for recognition on our condensed consolidated balance sheets but which we consider non-cancellable. During the three months ended March 31, 2022, there have been no material changes in our purchase obligations as disclosed in “Management’s Discussion and Analysis of Financial Condition and Results of Operations – Liquidity and Capital Resources” in our Annual Report on Form 10-K for the year ended December 31, 2021.</w:t>
      </w:r>
    </w:p>
    <w:p>
      <w:pPr>
        <w:spacing w:after="0" w:line="1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as part of the acquisitions of KYM and Fundera, both in 2020, the Company committed to pay additional amounts of up to $11 million and $66 million, respectively, related to contingent earn-out consideration over the succeeding years based, in part, on the achievement of certain financial metrics related to 2021 and 2022. Based on fair value measurements for these contingent consideration liabilities as of March 31, 2022 (see Note 3 – Fair Value Measurements in the notes to our condensed consolidated financial statements), $30.5 million relates to amounts to be paid over the next twelve months and $28.1 million relates to amounts to be settled beyond the next twelve months.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Trends, Uncertainties and Anticipated Sources of Funds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order to grow our business, we intend to increase our personnel and related expenses and to make significant investments in our business. The timing and amount of these investments will vary based on our financial condition, the rate at which we add new personnel and the scale of our development, as well as the extent and duration of the COVID-19 pandemic and its impact on the macro-economic environment. Many of these investments will occur in advance of our experiencing any direct benefit from them, which could negatively impact our liquidity and cash flows during any particular period and may make it difficult to determine if we are effectively allocating our resources. However, we expect to fund our operations, capital expenditures and other investments principally with cash flows from operations, and to the extent that our liquidity needs exceed our cash from operations, we would look to our cash on hand to satisfy those needs.</w:t>
      </w:r>
    </w:p>
    <w:p>
      <w:pPr>
        <w:spacing w:after="0" w:line="13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believe our current cash and cash equivalents, future cash flow from operations, and access to our credit facility will be sufficient to meet our ongoing working capital, capital expenditure and other liquidity requirements for at least twelve months from the date of this filing. If necessary, we may borrow up to $100 million under our credit facility with Silicon Valley Bank and certain other lenders, subject to borrowing conditions. We had no outstanding balance on our credit facility as of March 31, 2022 or December 31, 2021. Our credit facility contains certain financial and non-financial covenants. We were in compliance with all covenants as of March 31, 2022 and December 31, 2021.</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future capital requirements may vary materially from those planned and will depend on certain factors, such as our growth and our operating results. If we require additional capital resources to grow our business or to acquire complementary technologies and businesses in the future, we may seek to sell additional equity or raise funds through debt financing or other sources. We cannot provide assurance that additional financing will be available at all or on terms favorable to us.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Capital Resources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table summarizes our cash flows: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797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p>
      <w:pPr>
        <w:spacing w:after="0" w:line="3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17399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739900" cy="825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0" w:type="dxa"/>
            <w:vAlign w:val="bottom"/>
          </w:tcPr>
          <w:p>
            <w:pPr>
              <w:spacing w:after="0"/>
              <w:rPr>
                <w:sz w:val="16"/>
                <w:szCs w:val="16"/>
                <w:color w:val="auto"/>
              </w:rPr>
            </w:pPr>
          </w:p>
        </w:tc>
        <w:tc>
          <w:tcPr>
            <w:tcW w:w="100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37"/>
        </w:trPr>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center"/>
              <w:ind w:left="554"/>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70"/>
        </w:trPr>
        <w:tc>
          <w:tcPr>
            <w:tcW w:w="320" w:type="dxa"/>
            <w:vAlign w:val="bottom"/>
          </w:tcPr>
          <w:p>
            <w:pPr>
              <w:spacing w:after="0"/>
              <w:rPr>
                <w:sz w:val="23"/>
                <w:szCs w:val="23"/>
                <w:color w:val="auto"/>
              </w:rPr>
            </w:pPr>
          </w:p>
        </w:tc>
        <w:tc>
          <w:tcPr>
            <w:tcW w:w="1000" w:type="dxa"/>
            <w:vAlign w:val="bottom"/>
          </w:tcPr>
          <w:p>
            <w:pPr>
              <w:jc w:val="center"/>
              <w:ind w:left="534"/>
              <w:spacing w:after="0"/>
              <w:rPr>
                <w:sz w:val="20"/>
                <w:szCs w:val="20"/>
                <w:color w:val="auto"/>
              </w:rPr>
            </w:pPr>
            <w:r>
              <w:rPr>
                <w:rFonts w:ascii="Times New Roman" w:cs="Times New Roman" w:eastAsia="Times New Roman" w:hAnsi="Times New Roman"/>
                <w:sz w:val="18"/>
                <w:szCs w:val="18"/>
                <w:color w:val="auto"/>
                <w:w w:val="98"/>
              </w:rPr>
              <w:t>(8.5)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70"/>
        </w:trPr>
        <w:tc>
          <w:tcPr>
            <w:tcW w:w="320" w:type="dxa"/>
            <w:vAlign w:val="bottom"/>
          </w:tcPr>
          <w:p>
            <w:pPr>
              <w:spacing w:after="0"/>
              <w:rPr>
                <w:sz w:val="23"/>
                <w:szCs w:val="23"/>
                <w:color w:val="auto"/>
              </w:rPr>
            </w:pPr>
          </w:p>
        </w:tc>
        <w:tc>
          <w:tcPr>
            <w:tcW w:w="1000" w:type="dxa"/>
            <w:vAlign w:val="bottom"/>
          </w:tcPr>
          <w:p>
            <w:pPr>
              <w:jc w:val="center"/>
              <w:ind w:left="554"/>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7"/>
        </w:trPr>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center"/>
              <w:ind w:left="534"/>
              <w:spacing w:after="0"/>
              <w:rPr>
                <w:sz w:val="20"/>
                <w:szCs w:val="20"/>
                <w:color w:val="auto"/>
              </w:rPr>
            </w:pPr>
            <w:r>
              <w:rPr>
                <w:rFonts w:ascii="Times New Roman" w:cs="Times New Roman" w:eastAsia="Times New Roman" w:hAnsi="Times New Roman"/>
                <w:sz w:val="18"/>
                <w:szCs w:val="18"/>
                <w:color w:val="auto"/>
                <w:w w:val="98"/>
              </w:rPr>
              <w:t>(6.2)</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7"/>
        </w:trPr>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
        </w:trPr>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616" w:lineRule="exact"/>
        <w:rPr>
          <w:sz w:val="20"/>
          <w:szCs w:val="20"/>
          <w:color w:val="auto"/>
        </w:rPr>
      </w:pPr>
    </w:p>
    <w:p>
      <w:pPr>
        <w:sectPr>
          <w:pgSz w:w="11900" w:h="16838" w:orient="portrait"/>
          <w:cols w:equalWidth="0" w:num="2">
            <w:col w:w="7780" w:space="720"/>
            <w:col w:w="2740"/>
          </w:cols>
          <w:pgMar w:left="320" w:top="121" w:right="339" w:bottom="1440" w:gutter="0" w:footer="0" w:header="0"/>
        </w:sect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Net cash provided by operating activities increased $5.2 million in the three months ended March 31, 2022 compared to the three months ended March 31, 2021, due to a $2.4 million decrease in net loss, a $1.4 million decrease in net cash outflow from changes in operating assets and liabilities, and a $1.4 million increase in non-cash charges. The decrease in net cash outflow from changes in operating assets and liabilities was primarily due to increases of $3.2 million in accounts payable and $1.8 million in operating lease liabilities, and a $1.2 million decrease in accounts receivable, partially offset by a $4.4 million decrease in accrued expenses and other current liabilities. The increase in non-cash charges was primarily due to increases of $4.2 million in stock-based compensation, $1.0 million in depreciation and amortization, and $0.6 million in deferred taxes. These increases were partially offset by decreases of $3.1 million in the change in fair value of contingent consideration related to earnouts and $1.2 million in non-cash lease costs.</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increased $3.1 million in the three months ended March 31, 2022 compared to the three months ended March 31, 2021, due to increases of $1.7 million in purchases of property and equipment and $1.4 million in capitalized software development costs.</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increased $14.5 million in the three months ended March 31, 2022 compared to the three months ended March 31, 2021, primarily due to cash outflows in the prior-year period for repurchases of $12.4 million for Class F common stock, $2.1 million for Series A redeemable convertible preferred stock, and $1.4 million for stock options. The increase in cash provided by financing activities related to these prior-year repurchases were partially offset by a $2.4 million decrease in proceeds from exercises of stock options.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financial statements, which have been prepared in accordance with accounting policies as provided within U.S. GAAP. The preparation of these financial statements requires us to make estimates and judgments that affect the reported amounts of assets, liabilities, revenues, expenses and related disclosures. On an ongoing basis, we evaluate our estimates and assumptions. We base our estimates on historical experience and on various other assumptions that are believed to be reasonable. Actual results may differ from these estimates under different assumptions or conditions.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three months ended March 31, 2022, there have been no material changes in our critical accounting policies as disclosed in “Management’s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Discussion and Analysis of Financial Condition and Results of Operations – Critical Accounting Policies and Estimates” in our Annual Report on Form 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 for the year ended December 31, 2021.</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Pronouncements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information on recent accounting pronouncements, see Note 1 – The Company and Basis of Presentation in the notes to our condensed consolidated financial statements.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2022, there were no material changes from the market risk disclosures in our Annual Report on Form 10-K for the year ended December 31, 2021.</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maintains disclosure controls and procedures (as defined under Rules 13a-15(e) and 15d-15(e) of the Securities Exchange Act of 1934, as amended). Management, under the supervision and with the participation of our Chief Executive Officer and our Chief Financial Officer, evaluated the effectiveness of the Company’s disclosure controls and procedures pursuant to Exchange Act Rule 13a-15(b) as of March 31, 2022. Based on that evaluation, the Chief Executive Officer and the Chief Financial Officer concluded that these disclosure controls and procedures were effective as of March 31, 2022.</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identified in connection with the evaluation required by Rules 13a-15(d) and 15d-15(d) of the Exchange Act that occurred during the quarter ended March 31, 2022 that have materially affected, or are reasonably likely to materially affect, our internal control over financial reporting.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From time to time, we are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 Defending such proceedings is costly and can impose a significant burden on management and employees. The results of any current or future litigation cannot be predicted with any certainty, and regardless of the outcome, litigation can have an adverse impact on us because of defense and settlement costs, diversion of management resources and other factors. See further discussion under “Litigation and Other Legal Matters” in Note 5 – Commitments and Contingencies in the notes to condensed consolidated financial statements in Item 1 of Part I of this Quarterly Report on Form 10-Q.</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to risks and uncertainties in the ordinary course of business that are common to all businesses, important factors that are specific to our industry and the Company could have a material and adverse impact on our business, financial condition, results of operations and cash flows. You should carefully consider the risk factors set forth in Part I, Item 1A. Risk Factors in our Annual Report on Form 10-K for the year ended December 31, 2021 and in our subsequent periodic filings with the SEC.</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ind w:right="99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jc w:val="right"/>
        <w:ind w:right="10020"/>
        <w:spacing w:after="0"/>
        <w:rPr>
          <w:sz w:val="20"/>
          <w:szCs w:val="20"/>
          <w:color w:val="auto"/>
        </w:rPr>
      </w:pPr>
      <w:r>
        <w:rPr>
          <w:rFonts w:ascii="Times New Roman" w:cs="Times New Roman" w:eastAsia="Times New Roman" w:hAnsi="Times New Roman"/>
          <w:sz w:val="18"/>
          <w:szCs w:val="18"/>
          <w:color w:val="auto"/>
        </w:rPr>
        <w:t>(a) Exhibits.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80" w:type="dxa"/>
            <w:vAlign w:val="bottom"/>
          </w:tcPr>
          <w:p>
            <w:pPr>
              <w:spacing w:after="0"/>
              <w:rPr>
                <w:sz w:val="15"/>
                <w:szCs w:val="15"/>
                <w:color w:val="auto"/>
              </w:rPr>
            </w:pPr>
          </w:p>
        </w:tc>
      </w:tr>
      <w:tr>
        <w:trPr>
          <w:trHeight w:val="190"/>
        </w:trPr>
        <w:tc>
          <w:tcPr>
            <w:tcW w:w="10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0" w:type="dxa"/>
            <w:vAlign w:val="bottom"/>
            <w:gridSpan w:val="11"/>
          </w:tcPr>
          <w:p>
            <w:pPr>
              <w:ind w:left="142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4080" w:type="dxa"/>
            <w:vAlign w:val="bottom"/>
          </w:tcPr>
          <w:p>
            <w:pPr>
              <w:ind w:left="1760"/>
              <w:spacing w:after="0"/>
              <w:rPr>
                <w:sz w:val="20"/>
                <w:szCs w:val="20"/>
                <w:color w:val="auto"/>
              </w:rPr>
            </w:pPr>
            <w:r>
              <w:rPr>
                <w:rFonts w:ascii="Times New Roman" w:cs="Times New Roman" w:eastAsia="Times New Roman" w:hAnsi="Times New Roman"/>
                <w:sz w:val="14"/>
                <w:szCs w:val="14"/>
                <w:b w:val="1"/>
                <w:bCs w:val="1"/>
                <w:color w:val="auto"/>
              </w:rPr>
              <w:t>Location</w:t>
            </w:r>
          </w:p>
        </w:tc>
      </w:tr>
      <w:tr>
        <w:trPr>
          <w:trHeight w:val="37"/>
        </w:trPr>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66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80" w:type="dxa"/>
            <w:vAlign w:val="bottom"/>
            <w:tcBorders>
              <w:bottom w:val="single" w:sz="8" w:color="auto"/>
            </w:tcBorders>
          </w:tcPr>
          <w:p>
            <w:pPr>
              <w:spacing w:after="0"/>
              <w:rPr>
                <w:sz w:val="3"/>
                <w:szCs w:val="3"/>
                <w:color w:val="auto"/>
              </w:rPr>
            </w:pPr>
          </w:p>
        </w:tc>
      </w:tr>
      <w:tr>
        <w:trPr>
          <w:trHeight w:val="196"/>
        </w:trPr>
        <w:tc>
          <w:tcPr>
            <w:tcW w:w="9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6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75">
              <w:r>
                <w:rPr>
                  <w:rFonts w:ascii="Times New Roman" w:cs="Times New Roman" w:eastAsia="Times New Roman" w:hAnsi="Times New Roman"/>
                  <w:sz w:val="18"/>
                  <w:szCs w:val="18"/>
                  <w:color w:val="0000FF"/>
                  <w:w w:val="99"/>
                </w:rPr>
                <w:t>Second Amendment, dated March 15, 2022, to the Amended and Restated Senior</w:t>
              </w:r>
            </w:hyperlink>
          </w:p>
        </w:tc>
        <w:tc>
          <w:tcPr>
            <w:tcW w:w="240" w:type="dxa"/>
            <w:vAlign w:val="bottom"/>
            <w:gridSpan w:val="4"/>
          </w:tcPr>
          <w:p>
            <w:pPr>
              <w:spacing w:after="0"/>
              <w:rPr>
                <w:sz w:val="17"/>
                <w:szCs w:val="17"/>
                <w:color w:val="auto"/>
              </w:rPr>
            </w:pPr>
          </w:p>
        </w:tc>
        <w:tc>
          <w:tcPr>
            <w:tcW w:w="40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Exhibit 10.10 to the Registrant’s Annual Report on</w:t>
            </w: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2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75">
              <w:r>
                <w:rPr>
                  <w:rFonts w:ascii="Times New Roman" w:cs="Times New Roman" w:eastAsia="Times New Roman" w:hAnsi="Times New Roman"/>
                  <w:sz w:val="18"/>
                  <w:szCs w:val="18"/>
                  <w:color w:val="0000FF"/>
                  <w:w w:val="99"/>
                </w:rPr>
                <w:t>Secured Credit Facilities Credit Agreement between Silicon Valley Bank and the</w:t>
              </w:r>
            </w:hyperlink>
          </w:p>
        </w:tc>
        <w:tc>
          <w:tcPr>
            <w:tcW w:w="280" w:type="dxa"/>
            <w:vAlign w:val="bottom"/>
            <w:gridSpan w:val="6"/>
          </w:tcPr>
          <w:p>
            <w:pPr>
              <w:spacing w:after="0"/>
              <w:rPr>
                <w:sz w:val="17"/>
                <w:szCs w:val="17"/>
                <w:color w:val="auto"/>
              </w:rPr>
            </w:pPr>
          </w:p>
        </w:tc>
        <w:tc>
          <w:tcPr>
            <w:tcW w:w="40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Form 10-K (No. 001-40994) filed March 24, 2022</w:t>
            </w: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6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75">
              <w:r>
                <w:rPr>
                  <w:rFonts w:ascii="Times New Roman" w:cs="Times New Roman" w:eastAsia="Times New Roman" w:hAnsi="Times New Roman"/>
                  <w:sz w:val="18"/>
                  <w:szCs w:val="18"/>
                  <w:color w:val="0000FF"/>
                  <w:w w:val="99"/>
                </w:rPr>
                <w:t>Registrant, dated February 19, 2021, as amended.</w:t>
              </w:r>
            </w:hyperlink>
          </w:p>
        </w:tc>
        <w:tc>
          <w:tcPr>
            <w:tcW w:w="2540" w:type="dxa"/>
            <w:vAlign w:val="bottom"/>
            <w:gridSpan w:val="10"/>
          </w:tcPr>
          <w:p>
            <w:pPr>
              <w:spacing w:after="0"/>
              <w:rPr>
                <w:sz w:val="17"/>
                <w:szCs w:val="17"/>
                <w:color w:val="auto"/>
              </w:rPr>
            </w:pPr>
          </w:p>
        </w:tc>
        <w:tc>
          <w:tcPr>
            <w:tcW w:w="4080" w:type="dxa"/>
            <w:vAlign w:val="bottom"/>
          </w:tcPr>
          <w:p>
            <w:pPr>
              <w:spacing w:after="0"/>
              <w:rPr>
                <w:sz w:val="17"/>
                <w:szCs w:val="17"/>
                <w:color w:val="auto"/>
              </w:rPr>
            </w:pPr>
          </w:p>
        </w:tc>
      </w:tr>
      <w:tr>
        <w:trPr>
          <w:trHeight w:val="25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1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Exchange Act Rules 13a-</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40" w:type="dxa"/>
            <w:vAlign w:val="bottom"/>
            <w:tcBorders>
              <w:top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14(a) and 15d-14(a), as adopted pursuant to Section 302 of the Sarbanes-Oxley</w:t>
            </w:r>
          </w:p>
        </w:tc>
        <w:tc>
          <w:tcPr>
            <w:tcW w:w="260" w:type="dxa"/>
            <w:vAlign w:val="bottom"/>
            <w:gridSpan w:val="5"/>
          </w:tcPr>
          <w:p>
            <w:pPr>
              <w:spacing w:after="0"/>
              <w:rPr>
                <w:sz w:val="17"/>
                <w:szCs w:val="17"/>
                <w:color w:val="auto"/>
              </w:rPr>
            </w:pPr>
          </w:p>
        </w:tc>
        <w:tc>
          <w:tcPr>
            <w:tcW w:w="4080" w:type="dxa"/>
            <w:vAlign w:val="bottom"/>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Act of 2002.</w:t>
            </w:r>
          </w:p>
        </w:tc>
        <w:tc>
          <w:tcPr>
            <w:tcW w:w="4780" w:type="dxa"/>
            <w:vAlign w:val="bottom"/>
            <w:tcBorders>
              <w:top w:val="single" w:sz="8" w:color="0000FF"/>
            </w:tcBorders>
            <w:gridSpan w:val="3"/>
          </w:tcPr>
          <w:p>
            <w:pPr>
              <w:spacing w:after="0"/>
              <w:rPr>
                <w:sz w:val="17"/>
                <w:szCs w:val="17"/>
                <w:color w:val="auto"/>
              </w:rPr>
            </w:pPr>
          </w:p>
        </w:tc>
        <w:tc>
          <w:tcPr>
            <w:tcW w:w="420" w:type="dxa"/>
            <w:vAlign w:val="bottom"/>
            <w:gridSpan w:val="8"/>
          </w:tcPr>
          <w:p>
            <w:pPr>
              <w:spacing w:after="0"/>
              <w:rPr>
                <w:sz w:val="17"/>
                <w:szCs w:val="17"/>
                <w:color w:val="auto"/>
              </w:rPr>
            </w:pPr>
          </w:p>
        </w:tc>
        <w:tc>
          <w:tcPr>
            <w:tcW w:w="4080" w:type="dxa"/>
            <w:vAlign w:val="bottom"/>
          </w:tcPr>
          <w:p>
            <w:pPr>
              <w:spacing w:after="0"/>
              <w:rPr>
                <w:sz w:val="17"/>
                <w:szCs w:val="17"/>
                <w:color w:val="auto"/>
              </w:rPr>
            </w:pPr>
          </w:p>
        </w:tc>
      </w:tr>
      <w:tr>
        <w:trPr>
          <w:trHeight w:val="25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1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Exchange Act Rules 13a-</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183"/>
        </w:trPr>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0" w:type="dxa"/>
            <w:vAlign w:val="bottom"/>
            <w:tcBorders>
              <w:top w:val="single" w:sz="8" w:color="0000FF"/>
            </w:tcBorders>
            <w:gridSpan w:val="5"/>
          </w:tcPr>
          <w:p>
            <w:pPr>
              <w:spacing w:after="0" w:line="182" w:lineRule="exact"/>
              <w:rPr>
                <w:sz w:val="20"/>
                <w:szCs w:val="20"/>
                <w:color w:val="auto"/>
              </w:rPr>
            </w:pPr>
            <w:r>
              <w:rPr>
                <w:rFonts w:ascii="Times New Roman" w:cs="Times New Roman" w:eastAsia="Times New Roman" w:hAnsi="Times New Roman"/>
                <w:sz w:val="18"/>
                <w:szCs w:val="18"/>
                <w:color w:val="0000FF"/>
              </w:rPr>
              <w:t>14(a) and 15d-14(a), as adopted pursuant to Section 302 of the Sarbanes-Oxley</w:t>
            </w:r>
          </w:p>
        </w:tc>
        <w:tc>
          <w:tcPr>
            <w:tcW w:w="100" w:type="dxa"/>
            <w:vAlign w:val="bottom"/>
            <w:gridSpan w:val="4"/>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4080" w:type="dxa"/>
            <w:vAlign w:val="bottom"/>
          </w:tcPr>
          <w:p>
            <w:pPr>
              <w:spacing w:after="0"/>
              <w:rPr>
                <w:sz w:val="15"/>
                <w:szCs w:val="15"/>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Act of 2002.</w:t>
            </w:r>
          </w:p>
        </w:tc>
        <w:tc>
          <w:tcPr>
            <w:tcW w:w="4780" w:type="dxa"/>
            <w:vAlign w:val="bottom"/>
            <w:tcBorders>
              <w:top w:val="single" w:sz="8" w:color="0000FF"/>
            </w:tcBorders>
            <w:gridSpan w:val="3"/>
          </w:tcPr>
          <w:p>
            <w:pPr>
              <w:spacing w:after="0"/>
              <w:rPr>
                <w:sz w:val="17"/>
                <w:szCs w:val="17"/>
                <w:color w:val="auto"/>
              </w:rPr>
            </w:pPr>
          </w:p>
        </w:tc>
        <w:tc>
          <w:tcPr>
            <w:tcW w:w="420" w:type="dxa"/>
            <w:vAlign w:val="bottom"/>
            <w:gridSpan w:val="8"/>
          </w:tcPr>
          <w:p>
            <w:pPr>
              <w:spacing w:after="0"/>
              <w:rPr>
                <w:sz w:val="17"/>
                <w:szCs w:val="17"/>
                <w:color w:val="auto"/>
              </w:rPr>
            </w:pPr>
          </w:p>
        </w:tc>
        <w:tc>
          <w:tcPr>
            <w:tcW w:w="4080" w:type="dxa"/>
            <w:vAlign w:val="bottom"/>
          </w:tcPr>
          <w:p>
            <w:pPr>
              <w:spacing w:after="0"/>
              <w:rPr>
                <w:sz w:val="17"/>
                <w:szCs w:val="17"/>
                <w:color w:val="auto"/>
              </w:rPr>
            </w:pPr>
          </w:p>
        </w:tc>
      </w:tr>
      <w:tr>
        <w:trPr>
          <w:trHeight w:val="237"/>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1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183"/>
        </w:trPr>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20" w:type="dxa"/>
            <w:vAlign w:val="bottom"/>
            <w:tcBorders>
              <w:top w:val="single" w:sz="8" w:color="0000FF"/>
              <w:bottom w:val="single" w:sz="8" w:color="0000FF"/>
            </w:tcBorders>
            <w:gridSpan w:val="3"/>
          </w:tcPr>
          <w:p>
            <w:pPr>
              <w:spacing w:after="0" w:line="182" w:lineRule="exact"/>
              <w:rPr>
                <w:sz w:val="20"/>
                <w:szCs w:val="20"/>
                <w:color w:val="auto"/>
              </w:rPr>
            </w:pPr>
            <w:r>
              <w:rPr>
                <w:rFonts w:ascii="Times New Roman" w:cs="Times New Roman" w:eastAsia="Times New Roman" w:hAnsi="Times New Roman"/>
                <w:sz w:val="18"/>
                <w:szCs w:val="18"/>
                <w:color w:val="0000FF"/>
                <w:w w:val="99"/>
              </w:rPr>
              <w:t>adopted pursuant to Section 906 of the Sarbanes-Oxley Act of 2002.</w:t>
            </w:r>
          </w:p>
        </w:tc>
        <w:tc>
          <w:tcPr>
            <w:tcW w:w="1020" w:type="dxa"/>
            <w:vAlign w:val="bottom"/>
            <w:tcBorders>
              <w:top w:val="single" w:sz="8" w:color="0000FF"/>
            </w:tcBorders>
            <w:gridSpan w:val="7"/>
          </w:tcPr>
          <w:p>
            <w:pPr>
              <w:spacing w:after="0"/>
              <w:rPr>
                <w:sz w:val="15"/>
                <w:szCs w:val="15"/>
                <w:color w:val="auto"/>
              </w:rPr>
            </w:pPr>
          </w:p>
        </w:tc>
        <w:tc>
          <w:tcPr>
            <w:tcW w:w="160" w:type="dxa"/>
            <w:vAlign w:val="bottom"/>
            <w:gridSpan w:val="2"/>
          </w:tcPr>
          <w:p>
            <w:pPr>
              <w:spacing w:after="0"/>
              <w:rPr>
                <w:sz w:val="15"/>
                <w:szCs w:val="15"/>
                <w:color w:val="auto"/>
              </w:rPr>
            </w:pPr>
          </w:p>
        </w:tc>
        <w:tc>
          <w:tcPr>
            <w:tcW w:w="4080" w:type="dxa"/>
            <w:vAlign w:val="bottom"/>
          </w:tcPr>
          <w:p>
            <w:pPr>
              <w:spacing w:after="0"/>
              <w:rPr>
                <w:sz w:val="15"/>
                <w:szCs w:val="15"/>
                <w:color w:val="auto"/>
              </w:rPr>
            </w:pPr>
          </w:p>
        </w:tc>
      </w:tr>
      <w:tr>
        <w:trPr>
          <w:trHeight w:val="25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1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183"/>
        </w:trPr>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20" w:type="dxa"/>
            <w:vAlign w:val="bottom"/>
            <w:tcBorders>
              <w:top w:val="single" w:sz="8" w:color="0000FF"/>
              <w:bottom w:val="single" w:sz="8" w:color="0000FF"/>
            </w:tcBorders>
            <w:gridSpan w:val="3"/>
          </w:tcPr>
          <w:p>
            <w:pPr>
              <w:spacing w:after="0" w:line="182" w:lineRule="exact"/>
              <w:rPr>
                <w:sz w:val="20"/>
                <w:szCs w:val="20"/>
                <w:color w:val="auto"/>
              </w:rPr>
            </w:pPr>
            <w:r>
              <w:rPr>
                <w:rFonts w:ascii="Times New Roman" w:cs="Times New Roman" w:eastAsia="Times New Roman" w:hAnsi="Times New Roman"/>
                <w:sz w:val="18"/>
                <w:szCs w:val="18"/>
                <w:color w:val="0000FF"/>
                <w:w w:val="99"/>
              </w:rPr>
              <w:t>adopted pursuant to Section 906 of the Sarbanes-Oxley Act of 2002.</w:t>
            </w:r>
          </w:p>
        </w:tc>
        <w:tc>
          <w:tcPr>
            <w:tcW w:w="980" w:type="dxa"/>
            <w:vAlign w:val="bottom"/>
            <w:tcBorders>
              <w:top w:val="single" w:sz="8" w:color="0000FF"/>
            </w:tcBorders>
            <w:gridSpan w:val="6"/>
          </w:tcPr>
          <w:p>
            <w:pPr>
              <w:spacing w:after="0"/>
              <w:rPr>
                <w:sz w:val="15"/>
                <w:szCs w:val="15"/>
                <w:color w:val="auto"/>
              </w:rPr>
            </w:pPr>
          </w:p>
        </w:tc>
        <w:tc>
          <w:tcPr>
            <w:tcW w:w="200" w:type="dxa"/>
            <w:vAlign w:val="bottom"/>
            <w:gridSpan w:val="3"/>
          </w:tcPr>
          <w:p>
            <w:pPr>
              <w:spacing w:after="0"/>
              <w:rPr>
                <w:sz w:val="15"/>
                <w:szCs w:val="15"/>
                <w:color w:val="auto"/>
              </w:rPr>
            </w:pPr>
          </w:p>
        </w:tc>
        <w:tc>
          <w:tcPr>
            <w:tcW w:w="4080" w:type="dxa"/>
            <w:vAlign w:val="bottom"/>
          </w:tcPr>
          <w:p>
            <w:pPr>
              <w:spacing w:after="0"/>
              <w:rPr>
                <w:sz w:val="15"/>
                <w:szCs w:val="15"/>
                <w:color w:val="auto"/>
              </w:rPr>
            </w:pPr>
          </w:p>
        </w:tc>
      </w:tr>
      <w:tr>
        <w:trPr>
          <w:trHeight w:val="259"/>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2"/>
                <w:szCs w:val="22"/>
                <w:color w:val="auto"/>
              </w:rPr>
            </w:pPr>
          </w:p>
        </w:tc>
        <w:tc>
          <w:tcPr>
            <w:tcW w:w="61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Instance Document.(the instance document does not appear in the</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1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Interactive Data File because its XBRL tags are embedded within the Inline XBRL</w:t>
            </w:r>
          </w:p>
        </w:tc>
        <w:tc>
          <w:tcPr>
            <w:tcW w:w="4080" w:type="dxa"/>
            <w:vAlign w:val="bottom"/>
          </w:tcPr>
          <w:p>
            <w:pPr>
              <w:spacing w:after="0"/>
              <w:rPr>
                <w:sz w:val="18"/>
                <w:szCs w:val="18"/>
                <w:color w:val="auto"/>
              </w:rPr>
            </w:pPr>
          </w:p>
        </w:tc>
      </w:tr>
      <w:tr>
        <w:trPr>
          <w:trHeight w:val="234"/>
        </w:trPr>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1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document)</w:t>
            </w:r>
          </w:p>
        </w:tc>
        <w:tc>
          <w:tcPr>
            <w:tcW w:w="4080" w:type="dxa"/>
            <w:vAlign w:val="bottom"/>
          </w:tcPr>
          <w:p>
            <w:pPr>
              <w:spacing w:after="0"/>
              <w:rPr>
                <w:sz w:val="20"/>
                <w:szCs w:val="20"/>
                <w:color w:val="auto"/>
              </w:rPr>
            </w:pPr>
          </w:p>
        </w:tc>
      </w:tr>
      <w:tr>
        <w:trPr>
          <w:trHeight w:val="257"/>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2"/>
                <w:szCs w:val="22"/>
                <w:color w:val="auto"/>
              </w:rPr>
            </w:pPr>
          </w:p>
        </w:tc>
        <w:tc>
          <w:tcPr>
            <w:tcW w:w="61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3"/>
                <w:szCs w:val="23"/>
                <w:color w:val="auto"/>
              </w:rPr>
            </w:pPr>
          </w:p>
        </w:tc>
        <w:tc>
          <w:tcPr>
            <w:tcW w:w="61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3"/>
                <w:szCs w:val="23"/>
                <w:color w:val="auto"/>
              </w:rPr>
            </w:pPr>
          </w:p>
        </w:tc>
        <w:tc>
          <w:tcPr>
            <w:tcW w:w="61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3"/>
                <w:szCs w:val="23"/>
                <w:color w:val="auto"/>
              </w:rPr>
            </w:pPr>
          </w:p>
        </w:tc>
        <w:tc>
          <w:tcPr>
            <w:tcW w:w="61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3"/>
                <w:szCs w:val="23"/>
                <w:color w:val="auto"/>
              </w:rPr>
            </w:pPr>
          </w:p>
        </w:tc>
        <w:tc>
          <w:tcPr>
            <w:tcW w:w="61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1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1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Exhibits 101).</w:t>
            </w:r>
          </w:p>
        </w:tc>
        <w:tc>
          <w:tcPr>
            <w:tcW w:w="4080" w:type="dxa"/>
            <w:vAlign w:val="bottom"/>
          </w:tcPr>
          <w:p>
            <w:pPr>
              <w:spacing w:after="0"/>
              <w:rPr>
                <w:sz w:val="20"/>
                <w:szCs w:val="20"/>
                <w:color w:val="auto"/>
              </w:rPr>
            </w:pP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26" w:lineRule="exact"/>
        <w:rPr>
          <w:sz w:val="20"/>
          <w:szCs w:val="20"/>
          <w:color w:val="auto"/>
        </w:rPr>
      </w:pPr>
    </w:p>
    <w:p>
      <w:pPr>
        <w:ind w:left="300" w:hanging="292"/>
        <w:spacing w:after="0"/>
        <w:tabs>
          <w:tab w:leader="none" w:pos="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The certifications attached as Exhibits 32.1 and 32.2 that accompany this Quarterly Report on Form 10-Q are deemed furnished and not filed with the Securities and Exchange Commission</w:t>
      </w:r>
    </w:p>
    <w:p>
      <w:pPr>
        <w:spacing w:after="0" w:line="3" w:lineRule="exact"/>
        <w:rPr>
          <w:sz w:val="20"/>
          <w:szCs w:val="20"/>
          <w:color w:val="auto"/>
        </w:rPr>
      </w:pPr>
    </w:p>
    <w:p>
      <w:pPr>
        <w:ind w:left="340"/>
        <w:spacing w:after="0" w:line="249" w:lineRule="auto"/>
        <w:rPr>
          <w:sz w:val="20"/>
          <w:szCs w:val="20"/>
          <w:color w:val="auto"/>
        </w:rPr>
      </w:pPr>
      <w:r>
        <w:rPr>
          <w:rFonts w:ascii="Times New Roman" w:cs="Times New Roman" w:eastAsia="Times New Roman" w:hAnsi="Times New Roman"/>
          <w:sz w:val="14"/>
          <w:szCs w:val="14"/>
          <w:color w:val="auto"/>
        </w:rPr>
        <w:t>and are not to be incorporated by reference into any filing under the Securities Act of 1933, as amended, or the Securities Exchange Act of 1934, as amended, whether made before or after the date of this Quarterly Report on Form 10-Q, irrespective of any general incorporation language contained in such filing.</w:t>
      </w:r>
    </w:p>
    <w:p>
      <w:pPr>
        <w:jc w:val="both"/>
        <w:ind w:left="340" w:hanging="332"/>
        <w:spacing w:after="0" w:line="272" w:lineRule="auto"/>
        <w:tabs>
          <w:tab w:leader="none" w:pos="353"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Furnished herewith. 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those sections.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060" w:type="dxa"/>
            <w:vAlign w:val="bottom"/>
          </w:tcPr>
          <w:p>
            <w:pPr>
              <w:spacing w:after="0"/>
              <w:rPr>
                <w:sz w:val="20"/>
                <w:szCs w:val="20"/>
                <w:color w:val="auto"/>
              </w:rPr>
            </w:pPr>
          </w:p>
        </w:tc>
        <w:tc>
          <w:tcPr>
            <w:tcW w:w="6160" w:type="dxa"/>
            <w:vAlign w:val="bottom"/>
            <w:gridSpan w:val="2"/>
          </w:tcPr>
          <w:p>
            <w:pPr>
              <w:ind w:left="1540"/>
              <w:spacing w:after="0"/>
              <w:rPr>
                <w:sz w:val="20"/>
                <w:szCs w:val="20"/>
                <w:color w:val="auto"/>
              </w:rPr>
            </w:pPr>
            <w:r>
              <w:rPr>
                <w:rFonts w:ascii="Times New Roman" w:cs="Times New Roman" w:eastAsia="Times New Roman" w:hAnsi="Times New Roman"/>
                <w:sz w:val="18"/>
                <w:szCs w:val="18"/>
                <w:b w:val="1"/>
                <w:bCs w:val="1"/>
                <w:color w:val="auto"/>
              </w:rPr>
              <w:t>NERDWALLET, INC.</w:t>
            </w:r>
          </w:p>
        </w:tc>
      </w:tr>
      <w:tr>
        <w:trPr>
          <w:trHeight w:val="527"/>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Date:  May 3, 2022</w:t>
            </w:r>
          </w:p>
        </w:tc>
        <w:tc>
          <w:tcPr>
            <w:tcW w:w="616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By:   /s/ Lauren StClair</w:t>
            </w:r>
          </w:p>
        </w:tc>
      </w:tr>
      <w:tr>
        <w:trPr>
          <w:trHeight w:val="27"/>
        </w:trPr>
        <w:tc>
          <w:tcPr>
            <w:tcW w:w="30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r>
      <w:tr>
        <w:trPr>
          <w:trHeight w:val="237"/>
        </w:trPr>
        <w:tc>
          <w:tcPr>
            <w:tcW w:w="30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Lauren StClair</w:t>
            </w:r>
          </w:p>
        </w:tc>
      </w:tr>
      <w:tr>
        <w:trPr>
          <w:trHeight w:val="270"/>
        </w:trPr>
        <w:tc>
          <w:tcPr>
            <w:tcW w:w="306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21" w:right="3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OR 15d-14(a) OF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Tim Chen, certify that:</w:t>
      </w:r>
    </w:p>
    <w:p>
      <w:pPr>
        <w:spacing w:after="0" w:line="117"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NerdWallet, Inc.;</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p>
      <w:pPr>
        <w:ind w:left="20"/>
        <w:spacing w:after="0"/>
        <w:tabs>
          <w:tab w:leader="none" w:pos="700" w:val="left"/>
          <w:tab w:leader="none" w:pos="78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3, 2022</w:t>
      </w:r>
      <w:r>
        <w:rPr>
          <w:sz w:val="20"/>
          <w:szCs w:val="20"/>
          <w:color w:val="auto"/>
        </w:rPr>
        <w:tab/>
      </w:r>
      <w:r>
        <w:rPr>
          <w:rFonts w:ascii="Times New Roman" w:cs="Times New Roman" w:eastAsia="Times New Roman" w:hAnsi="Times New Roman"/>
          <w:sz w:val="17"/>
          <w:szCs w:val="17"/>
          <w:color w:val="auto"/>
        </w:rPr>
        <w:t>/s/ Tim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34290</wp:posOffset>
            </wp:positionV>
            <wp:extent cx="365188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43"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color w:val="auto"/>
        </w:rPr>
        <w:t>Tim Chen</w:t>
      </w:r>
    </w:p>
    <w:p>
      <w:pPr>
        <w:spacing w:after="0" w:line="50"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Chief Executive Officer and</w:t>
      </w:r>
    </w:p>
    <w:p>
      <w:pPr>
        <w:spacing w:after="0" w:line="16"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Chairman of the Board of Directors</w:t>
      </w:r>
    </w:p>
    <w:p>
      <w:pPr>
        <w:sectPr>
          <w:pgSz w:w="11900" w:h="16838" w:orient="portrait"/>
          <w:cols w:equalWidth="0" w:num="1">
            <w:col w:w="11240"/>
          </w:cols>
          <w:pgMar w:left="320" w:top="1359" w:right="3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OR 15d-14(a) OF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Lauren StClair, certify that:</w:t>
      </w:r>
    </w:p>
    <w:p>
      <w:pPr>
        <w:spacing w:after="0" w:line="117"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NerdWallet, Inc.;</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p>
      <w:pPr>
        <w:ind w:left="20"/>
        <w:spacing w:after="0"/>
        <w:tabs>
          <w:tab w:leader="none" w:pos="700" w:val="left"/>
          <w:tab w:leader="none" w:pos="77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3, 2022</w:t>
      </w:r>
      <w:r>
        <w:rPr>
          <w:sz w:val="20"/>
          <w:szCs w:val="20"/>
          <w:color w:val="auto"/>
        </w:rPr>
        <w:tab/>
      </w:r>
      <w:r>
        <w:rPr>
          <w:rFonts w:ascii="Times New Roman" w:cs="Times New Roman" w:eastAsia="Times New Roman" w:hAnsi="Times New Roman"/>
          <w:sz w:val="17"/>
          <w:szCs w:val="17"/>
          <w:color w:val="auto"/>
        </w:rPr>
        <w:t>/s/ Lauren StClair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34290</wp:posOffset>
            </wp:positionV>
            <wp:extent cx="365188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43" w:lineRule="exact"/>
        <w:rPr>
          <w:sz w:val="20"/>
          <w:szCs w:val="20"/>
          <w:color w:val="auto"/>
        </w:rPr>
      </w:pPr>
    </w:p>
    <w:p>
      <w:pPr>
        <w:jc w:val="center"/>
        <w:ind w:left="5460"/>
        <w:spacing w:after="0"/>
        <w:rPr>
          <w:sz w:val="20"/>
          <w:szCs w:val="20"/>
          <w:color w:val="auto"/>
        </w:rPr>
      </w:pPr>
      <w:r>
        <w:rPr>
          <w:rFonts w:ascii="Times New Roman" w:cs="Times New Roman" w:eastAsia="Times New Roman" w:hAnsi="Times New Roman"/>
          <w:sz w:val="18"/>
          <w:szCs w:val="18"/>
          <w:color w:val="auto"/>
        </w:rPr>
        <w:t>Lauren StClair</w:t>
      </w:r>
    </w:p>
    <w:p>
      <w:pPr>
        <w:spacing w:after="0" w:line="50" w:lineRule="exact"/>
        <w:rPr>
          <w:sz w:val="20"/>
          <w:szCs w:val="20"/>
          <w:color w:val="auto"/>
        </w:rPr>
      </w:pPr>
    </w:p>
    <w:p>
      <w:pPr>
        <w:jc w:val="center"/>
        <w:ind w:left="54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359"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3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 Tim Chen, Chief Executive Officer and Chairman of the Board of Directors of NerdWallet, Inc. (the “Company”), certify, as of the date hereof and solely for purposes of and pursuant to 18 U.S.C. Section 1350 as adopted pursuant to Section 906 of the Sarbanes-Oxley Act of 2002, that, to my knowledge:</w:t>
      </w:r>
    </w:p>
    <w:p>
      <w:pPr>
        <w:spacing w:after="0" w:line="68" w:lineRule="exact"/>
        <w:rPr>
          <w:sz w:val="20"/>
          <w:szCs w:val="20"/>
          <w:color w:val="auto"/>
        </w:rPr>
      </w:pPr>
    </w:p>
    <w:p>
      <w:pPr>
        <w:ind w:left="660" w:right="2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March 31, 2022 (the “Report”) fully complies with the requirements of Section 13(a) or 15(d), as applicable, of the Securities Exchange Act of 1934; and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indicated.</w:t>
      </w:r>
    </w:p>
    <w:p>
      <w:pPr>
        <w:spacing w:after="0" w:line="200" w:lineRule="exact"/>
        <w:rPr>
          <w:sz w:val="20"/>
          <w:szCs w:val="20"/>
          <w:color w:val="auto"/>
        </w:rPr>
      </w:pPr>
    </w:p>
    <w:p>
      <w:pPr>
        <w:spacing w:after="0" w:line="380" w:lineRule="exact"/>
        <w:rPr>
          <w:sz w:val="20"/>
          <w:szCs w:val="20"/>
          <w:color w:val="auto"/>
        </w:rPr>
      </w:pPr>
    </w:p>
    <w:p>
      <w:pPr>
        <w:ind w:left="20"/>
        <w:spacing w:after="0"/>
        <w:tabs>
          <w:tab w:leader="none" w:pos="700" w:val="left"/>
          <w:tab w:leader="none" w:pos="78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3, 2022</w:t>
      </w:r>
      <w:r>
        <w:rPr>
          <w:sz w:val="20"/>
          <w:szCs w:val="20"/>
          <w:color w:val="auto"/>
        </w:rPr>
        <w:tab/>
      </w:r>
      <w:r>
        <w:rPr>
          <w:rFonts w:ascii="Times New Roman" w:cs="Times New Roman" w:eastAsia="Times New Roman" w:hAnsi="Times New Roman"/>
          <w:sz w:val="17"/>
          <w:szCs w:val="17"/>
          <w:color w:val="auto"/>
        </w:rPr>
        <w:t>/s/ Tim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34290</wp:posOffset>
            </wp:positionV>
            <wp:extent cx="365188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3651885" cy="8890"/>
                    </a:xfrm>
                    <a:prstGeom prst="rect">
                      <a:avLst/>
                    </a:prstGeom>
                    <a:noFill/>
                  </pic:spPr>
                </pic:pic>
              </a:graphicData>
            </a:graphic>
          </wp:anchor>
        </w:drawing>
      </w:r>
    </w:p>
    <w:p>
      <w:pPr>
        <w:spacing w:after="0" w:line="43"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color w:val="auto"/>
        </w:rPr>
        <w:t>Tim Chen</w:t>
      </w:r>
    </w:p>
    <w:p>
      <w:pPr>
        <w:spacing w:after="0" w:line="50"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Chief Executive Officer and</w:t>
      </w:r>
    </w:p>
    <w:p>
      <w:pPr>
        <w:spacing w:after="0" w:line="16"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Chairman of the Board of Directors</w:t>
      </w:r>
    </w:p>
    <w:p>
      <w:pPr>
        <w:sectPr>
          <w:pgSz w:w="11900" w:h="16838" w:orient="portrait"/>
          <w:cols w:equalWidth="0" w:num="1">
            <w:col w:w="11240"/>
          </w:cols>
          <w:pgMar w:left="320" w:top="1359"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34"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I, Lauren StClair, Chief Financial Officer of NerdWallet, Inc. (the “Company”), certify, as of the date hereof and solely for purposes of and pursuant to 18 U.S.C. Section 1350 as adopted pursuant to Section 906 of the Sarbanes-Oxley Act of 2002, that, to my knowledge:</w:t>
      </w:r>
    </w:p>
    <w:p>
      <w:pPr>
        <w:spacing w:after="0" w:line="54" w:lineRule="exact"/>
        <w:rPr>
          <w:sz w:val="20"/>
          <w:szCs w:val="20"/>
          <w:color w:val="auto"/>
        </w:rPr>
      </w:pPr>
    </w:p>
    <w:p>
      <w:pPr>
        <w:ind w:left="660" w:right="2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March 31, 2022 (the “Report”) fully complies with the requirements of Section 13(a) or 15(d), as applicable, of the Securities Exchange Act of 1934; and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indicated.</w:t>
      </w:r>
    </w:p>
    <w:p>
      <w:pPr>
        <w:spacing w:after="0" w:line="200" w:lineRule="exact"/>
        <w:rPr>
          <w:sz w:val="20"/>
          <w:szCs w:val="20"/>
          <w:color w:val="auto"/>
        </w:rPr>
      </w:pPr>
    </w:p>
    <w:p>
      <w:pPr>
        <w:spacing w:after="0" w:line="380" w:lineRule="exact"/>
        <w:rPr>
          <w:sz w:val="20"/>
          <w:szCs w:val="20"/>
          <w:color w:val="auto"/>
        </w:rPr>
      </w:pPr>
    </w:p>
    <w:p>
      <w:pPr>
        <w:ind w:left="20"/>
        <w:spacing w:after="0"/>
        <w:tabs>
          <w:tab w:leader="none" w:pos="700" w:val="left"/>
          <w:tab w:leader="none" w:pos="77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3, 2022</w:t>
      </w:r>
      <w:r>
        <w:rPr>
          <w:sz w:val="20"/>
          <w:szCs w:val="20"/>
          <w:color w:val="auto"/>
        </w:rPr>
        <w:tab/>
      </w:r>
      <w:r>
        <w:rPr>
          <w:rFonts w:ascii="Times New Roman" w:cs="Times New Roman" w:eastAsia="Times New Roman" w:hAnsi="Times New Roman"/>
          <w:sz w:val="17"/>
          <w:szCs w:val="17"/>
          <w:color w:val="auto"/>
        </w:rPr>
        <w:t>/s/ Lauren StClair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34290</wp:posOffset>
            </wp:positionV>
            <wp:extent cx="365188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3651885" cy="8890"/>
                    </a:xfrm>
                    <a:prstGeom prst="rect">
                      <a:avLst/>
                    </a:prstGeom>
                    <a:noFill/>
                  </pic:spPr>
                </pic:pic>
              </a:graphicData>
            </a:graphic>
          </wp:anchor>
        </w:drawing>
      </w:r>
    </w:p>
    <w:p>
      <w:pPr>
        <w:spacing w:after="0" w:line="43" w:lineRule="exact"/>
        <w:rPr>
          <w:sz w:val="20"/>
          <w:szCs w:val="20"/>
          <w:color w:val="auto"/>
        </w:rPr>
      </w:pPr>
    </w:p>
    <w:p>
      <w:pPr>
        <w:jc w:val="center"/>
        <w:ind w:left="5460"/>
        <w:spacing w:after="0"/>
        <w:rPr>
          <w:sz w:val="20"/>
          <w:szCs w:val="20"/>
          <w:color w:val="auto"/>
        </w:rPr>
      </w:pPr>
      <w:r>
        <w:rPr>
          <w:rFonts w:ascii="Times New Roman" w:cs="Times New Roman" w:eastAsia="Times New Roman" w:hAnsi="Times New Roman"/>
          <w:sz w:val="18"/>
          <w:szCs w:val="18"/>
          <w:color w:val="auto"/>
        </w:rPr>
        <w:t>Lauren StClair</w:t>
      </w:r>
    </w:p>
    <w:p>
      <w:pPr>
        <w:spacing w:after="0" w:line="50" w:lineRule="exact"/>
        <w:rPr>
          <w:sz w:val="20"/>
          <w:szCs w:val="20"/>
          <w:color w:val="auto"/>
        </w:rPr>
      </w:pPr>
    </w:p>
    <w:p>
      <w:pPr>
        <w:jc w:val="center"/>
        <w:ind w:left="546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40"/>
      </w:cols>
      <w:pgMar w:left="320" w:top="135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2"/>
    </w:lvl>
  </w:abstractNum>
  <w:abstractNum w:abstractNumId="4">
    <w:nsid w:val="66EF438D"/>
    <w:multiLevelType w:val="hybridMultilevel"/>
    <w:lvl w:ilvl="0">
      <w:lvlJc w:val="left"/>
      <w:lvlText w:val="%1."/>
      <w:numFmt w:val="decimal"/>
      <w:start w:val="3"/>
    </w:lvl>
  </w:abstractNum>
  <w:abstractNum w:abstractNumId="5">
    <w:nsid w:val="140E0F76"/>
    <w:multiLevelType w:val="hybridMultilevel"/>
    <w:lvl w:ilvl="0">
      <w:lvlJc w:val="left"/>
      <w:lvlText w:val="%1."/>
      <w:numFmt w:val="decimal"/>
      <w:start w:val="4"/>
    </w:lvl>
  </w:abstractNum>
  <w:abstractNum w:abstractNumId="6">
    <w:nsid w:val="3352255A"/>
    <w:multiLevelType w:val="hybridMultilevel"/>
    <w:lvl w:ilvl="0">
      <w:lvlJc w:val="left"/>
      <w:lvlText w:val="%1."/>
      <w:numFmt w:val="decimal"/>
      <w:start w:val="5"/>
    </w:lvl>
  </w:abstractNum>
  <w:abstractNum w:abstractNumId="7">
    <w:nsid w:val="109CF92E"/>
    <w:multiLevelType w:val="hybridMultilevel"/>
    <w:lvl w:ilvl="0">
      <w:lvlJc w:val="left"/>
      <w:lvlText w:val="%1."/>
      <w:numFmt w:val="decimal"/>
      <w:start w:val="6"/>
    </w:lvl>
  </w:abstractNum>
  <w:abstractNum w:abstractNumId="8">
    <w:nsid w:val="DED7263"/>
    <w:multiLevelType w:val="hybridMultilevel"/>
    <w:lvl w:ilvl="0">
      <w:lvlJc w:val="left"/>
      <w:lvlText w:val="%1."/>
      <w:numFmt w:val="decimal"/>
      <w:start w:val="7"/>
    </w:lvl>
  </w:abstractNum>
  <w:abstractNum w:abstractNumId="9">
    <w:nsid w:val="7FDCC233"/>
    <w:multiLevelType w:val="hybridMultilevel"/>
    <w:lvl w:ilvl="0">
      <w:lvlJc w:val="left"/>
      <w:lvlText w:val="%1."/>
      <w:numFmt w:val="decimal"/>
      <w:start w:val="8"/>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75" Type="http://schemas.openxmlformats.org/officeDocument/2006/relationships/hyperlink" Target="https://www.sec.gov/Archives/edgar/data/1625278/000162527822000029/exhibit1010-10xkfy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2022-05-03T16:43:10Z</dcterms:created>
  <dcterms:modified xsi:type="dcterms:W3CDTF">2022-05-03T16:43:10Z</dcterms:modified>
</cp:coreProperties>
</file>